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0C76D487" w14:textId="77777777" w:rsidR="00995B14" w:rsidRDefault="00995B14" w:rsidP="00CD198D">
      <w:pPr>
        <w:jc w:val="center"/>
        <w:rPr>
          <w:rFonts w:asciiTheme="minorHAnsi" w:hAnsiTheme="minorHAnsi" w:cstheme="minorHAnsi"/>
          <w:color w:val="FFFFFF" w:themeColor="background1"/>
          <w:sz w:val="72"/>
          <w:szCs w:val="72"/>
        </w:rPr>
      </w:pPr>
    </w:p>
    <w:p w14:paraId="659FE182" w14:textId="7ACFAEEE" w:rsidR="005B2EA0" w:rsidRDefault="00995B14"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ADMISSIONS POLICY </w:t>
      </w:r>
      <w:r w:rsidR="005A781F">
        <w:rPr>
          <w:rFonts w:asciiTheme="minorHAnsi" w:hAnsiTheme="minorHAnsi" w:cstheme="minorHAnsi"/>
          <w:color w:val="FFFFFF" w:themeColor="background1"/>
          <w:sz w:val="72"/>
          <w:szCs w:val="72"/>
        </w:rPr>
        <w:t xml:space="preserve">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762E2C9" w:rsidR="00F52E6C" w:rsidRPr="00004409" w:rsidRDefault="002E67D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Alternative Provision Establishments </w:t>
            </w:r>
            <w:r w:rsidR="00995B14">
              <w:rPr>
                <w:rFonts w:asciiTheme="minorHAnsi" w:eastAsia="Times New Roman" w:hAnsiTheme="minorHAnsi" w:cstheme="minorHAnsi"/>
                <w:lang w:eastAsia="en-GB"/>
              </w:rPr>
              <w:t xml:space="preserve">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53A08B54" w:rsidR="00F52E6C" w:rsidRPr="00004409" w:rsidRDefault="002E67D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995B14">
              <w:rPr>
                <w:rFonts w:asciiTheme="minorHAnsi" w:eastAsia="Times New Roman" w:hAnsiTheme="minorHAnsi" w:cstheme="minorHAnsi"/>
                <w:lang w:eastAsia="en-GB"/>
              </w:rPr>
              <w:t xml:space="preserve">ember 2023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DC7A59C" w:rsidR="00F52E6C" w:rsidRPr="00004409" w:rsidRDefault="002E67D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995B14">
              <w:rPr>
                <w:rFonts w:asciiTheme="minorHAnsi" w:eastAsia="Times New Roman" w:hAnsiTheme="minorHAnsi" w:cstheme="minorHAnsi"/>
                <w:lang w:eastAsia="en-GB"/>
              </w:rPr>
              <w:t>ember 2024</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90A10C6" w:rsidR="00F52E6C" w:rsidRPr="00004409" w:rsidRDefault="00995B1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73E89B7B" w14:textId="7956685C" w:rsidR="00C92BCB" w:rsidRPr="00C92BCB" w:rsidRDefault="00D1603A">
          <w:pPr>
            <w:pStyle w:val="TOC2"/>
            <w:rPr>
              <w:rFonts w:eastAsiaTheme="minorEastAsia" w:cstheme="minorBidi"/>
              <w:b w:val="0"/>
              <w:bCs w:val="0"/>
              <w:noProof/>
              <w:color w:val="7030A0"/>
              <w:kern w:val="2"/>
              <w:lang w:eastAsia="en-GB"/>
              <w14:ligatures w14:val="standardContextual"/>
            </w:rPr>
          </w:pPr>
          <w:r w:rsidRPr="00DC5809">
            <w:rPr>
              <w:rFonts w:ascii="Calibri" w:hAnsi="Calibri"/>
              <w:color w:val="7030A0"/>
            </w:rPr>
            <w:fldChar w:fldCharType="begin"/>
          </w:r>
          <w:r w:rsidRPr="00DC5809">
            <w:rPr>
              <w:rFonts w:ascii="Calibri" w:hAnsi="Calibri"/>
              <w:color w:val="7030A0"/>
            </w:rPr>
            <w:instrText xml:space="preserve"> TOC \o "1-3" \h \z \u </w:instrText>
          </w:r>
          <w:r w:rsidRPr="00DC5809">
            <w:rPr>
              <w:rFonts w:ascii="Calibri" w:hAnsi="Calibri"/>
              <w:color w:val="7030A0"/>
            </w:rPr>
            <w:fldChar w:fldCharType="separate"/>
          </w:r>
          <w:hyperlink w:anchor="_Toc151733576" w:history="1">
            <w:r w:rsidR="00C92BCB" w:rsidRPr="00C92BCB">
              <w:rPr>
                <w:rStyle w:val="Hyperlink"/>
                <w:noProof/>
                <w:color w:val="7030A0"/>
              </w:rPr>
              <w:t>1.0</w:t>
            </w:r>
            <w:r w:rsidR="00C92BCB" w:rsidRPr="00C92BCB">
              <w:rPr>
                <w:rFonts w:eastAsiaTheme="minorEastAsia" w:cstheme="minorBidi"/>
                <w:b w:val="0"/>
                <w:bCs w:val="0"/>
                <w:noProof/>
                <w:color w:val="7030A0"/>
                <w:kern w:val="2"/>
                <w:lang w:eastAsia="en-GB"/>
                <w14:ligatures w14:val="standardContextual"/>
              </w:rPr>
              <w:tab/>
            </w:r>
            <w:r w:rsidR="00C92BCB" w:rsidRPr="00C92BCB">
              <w:rPr>
                <w:rStyle w:val="Hyperlink"/>
                <w:noProof/>
                <w:color w:val="7030A0"/>
              </w:rPr>
              <w:t>INTRODUCTION</w:t>
            </w:r>
            <w:r w:rsidR="00C92BCB" w:rsidRPr="00C92BCB">
              <w:rPr>
                <w:noProof/>
                <w:webHidden/>
                <w:color w:val="7030A0"/>
              </w:rPr>
              <w:tab/>
            </w:r>
            <w:r w:rsidR="00C92BCB" w:rsidRPr="00C92BCB">
              <w:rPr>
                <w:noProof/>
                <w:webHidden/>
                <w:color w:val="7030A0"/>
              </w:rPr>
              <w:fldChar w:fldCharType="begin"/>
            </w:r>
            <w:r w:rsidR="00C92BCB" w:rsidRPr="00C92BCB">
              <w:rPr>
                <w:noProof/>
                <w:webHidden/>
                <w:color w:val="7030A0"/>
              </w:rPr>
              <w:instrText xml:space="preserve"> PAGEREF _Toc151733576 \h </w:instrText>
            </w:r>
            <w:r w:rsidR="00C92BCB" w:rsidRPr="00C92BCB">
              <w:rPr>
                <w:noProof/>
                <w:webHidden/>
                <w:color w:val="7030A0"/>
              </w:rPr>
            </w:r>
            <w:r w:rsidR="00C92BCB" w:rsidRPr="00C92BCB">
              <w:rPr>
                <w:noProof/>
                <w:webHidden/>
                <w:color w:val="7030A0"/>
              </w:rPr>
              <w:fldChar w:fldCharType="separate"/>
            </w:r>
            <w:r w:rsidR="00C92BCB" w:rsidRPr="00C92BCB">
              <w:rPr>
                <w:noProof/>
                <w:webHidden/>
                <w:color w:val="7030A0"/>
              </w:rPr>
              <w:t>4</w:t>
            </w:r>
            <w:r w:rsidR="00C92BCB" w:rsidRPr="00C92BCB">
              <w:rPr>
                <w:noProof/>
                <w:webHidden/>
                <w:color w:val="7030A0"/>
              </w:rPr>
              <w:fldChar w:fldCharType="end"/>
            </w:r>
          </w:hyperlink>
        </w:p>
        <w:p w14:paraId="3DA1B93E" w14:textId="75A2A23D" w:rsidR="00C92BCB" w:rsidRPr="00C92BCB" w:rsidRDefault="00C92BCB">
          <w:pPr>
            <w:pStyle w:val="TOC2"/>
            <w:rPr>
              <w:rFonts w:eastAsiaTheme="minorEastAsia" w:cstheme="minorBidi"/>
              <w:b w:val="0"/>
              <w:bCs w:val="0"/>
              <w:noProof/>
              <w:color w:val="7030A0"/>
              <w:kern w:val="2"/>
              <w:lang w:eastAsia="en-GB"/>
              <w14:ligatures w14:val="standardContextual"/>
            </w:rPr>
          </w:pPr>
          <w:hyperlink w:anchor="_Toc151733577" w:history="1">
            <w:r w:rsidRPr="00C92BCB">
              <w:rPr>
                <w:rStyle w:val="Hyperlink"/>
                <w:noProof/>
                <w:color w:val="7030A0"/>
              </w:rPr>
              <w:t>2.0</w:t>
            </w:r>
            <w:r w:rsidRPr="00C92BCB">
              <w:rPr>
                <w:rFonts w:eastAsiaTheme="minorEastAsia" w:cstheme="minorBidi"/>
                <w:b w:val="0"/>
                <w:bCs w:val="0"/>
                <w:noProof/>
                <w:color w:val="7030A0"/>
                <w:kern w:val="2"/>
                <w:lang w:eastAsia="en-GB"/>
                <w14:ligatures w14:val="standardContextual"/>
              </w:rPr>
              <w:tab/>
            </w:r>
            <w:r w:rsidRPr="00C92BCB">
              <w:rPr>
                <w:rStyle w:val="Hyperlink"/>
                <w:noProof/>
                <w:color w:val="7030A0"/>
              </w:rPr>
              <w:t>ADMISSION ARRANGEMENTS</w:t>
            </w:r>
            <w:r w:rsidRPr="00C92BCB">
              <w:rPr>
                <w:noProof/>
                <w:webHidden/>
                <w:color w:val="7030A0"/>
              </w:rPr>
              <w:tab/>
            </w:r>
            <w:r w:rsidRPr="00C92BCB">
              <w:rPr>
                <w:noProof/>
                <w:webHidden/>
                <w:color w:val="7030A0"/>
              </w:rPr>
              <w:fldChar w:fldCharType="begin"/>
            </w:r>
            <w:r w:rsidRPr="00C92BCB">
              <w:rPr>
                <w:noProof/>
                <w:webHidden/>
                <w:color w:val="7030A0"/>
              </w:rPr>
              <w:instrText xml:space="preserve"> PAGEREF _Toc151733577 \h </w:instrText>
            </w:r>
            <w:r w:rsidRPr="00C92BCB">
              <w:rPr>
                <w:noProof/>
                <w:webHidden/>
                <w:color w:val="7030A0"/>
              </w:rPr>
            </w:r>
            <w:r w:rsidRPr="00C92BCB">
              <w:rPr>
                <w:noProof/>
                <w:webHidden/>
                <w:color w:val="7030A0"/>
              </w:rPr>
              <w:fldChar w:fldCharType="separate"/>
            </w:r>
            <w:r w:rsidRPr="00C92BCB">
              <w:rPr>
                <w:noProof/>
                <w:webHidden/>
                <w:color w:val="7030A0"/>
              </w:rPr>
              <w:t>4</w:t>
            </w:r>
            <w:r w:rsidRPr="00C92BCB">
              <w:rPr>
                <w:noProof/>
                <w:webHidden/>
                <w:color w:val="7030A0"/>
              </w:rPr>
              <w:fldChar w:fldCharType="end"/>
            </w:r>
          </w:hyperlink>
        </w:p>
        <w:p w14:paraId="004C473C" w14:textId="30A88EBC" w:rsidR="00C92BCB" w:rsidRPr="00C92BCB" w:rsidRDefault="00C92BCB">
          <w:pPr>
            <w:pStyle w:val="TOC2"/>
            <w:rPr>
              <w:rFonts w:eastAsiaTheme="minorEastAsia" w:cstheme="minorBidi"/>
              <w:b w:val="0"/>
              <w:bCs w:val="0"/>
              <w:noProof/>
              <w:color w:val="7030A0"/>
              <w:kern w:val="2"/>
              <w:lang w:eastAsia="en-GB"/>
              <w14:ligatures w14:val="standardContextual"/>
            </w:rPr>
          </w:pPr>
          <w:hyperlink w:anchor="_Toc151733578" w:history="1">
            <w:r w:rsidRPr="00C92BCB">
              <w:rPr>
                <w:rStyle w:val="Hyperlink"/>
                <w:noProof/>
                <w:color w:val="7030A0"/>
              </w:rPr>
              <w:t>3.0</w:t>
            </w:r>
            <w:r w:rsidRPr="00C92BCB">
              <w:rPr>
                <w:rFonts w:eastAsiaTheme="minorEastAsia" w:cstheme="minorBidi"/>
                <w:b w:val="0"/>
                <w:bCs w:val="0"/>
                <w:noProof/>
                <w:color w:val="7030A0"/>
                <w:kern w:val="2"/>
                <w:lang w:eastAsia="en-GB"/>
                <w14:ligatures w14:val="standardContextual"/>
              </w:rPr>
              <w:tab/>
            </w:r>
            <w:r w:rsidRPr="00C92BCB">
              <w:rPr>
                <w:rStyle w:val="Hyperlink"/>
                <w:noProof/>
                <w:color w:val="7030A0"/>
              </w:rPr>
              <w:t>APPLICATION PROCESS</w:t>
            </w:r>
            <w:r w:rsidRPr="00C92BCB">
              <w:rPr>
                <w:noProof/>
                <w:webHidden/>
                <w:color w:val="7030A0"/>
              </w:rPr>
              <w:tab/>
            </w:r>
            <w:r w:rsidRPr="00C92BCB">
              <w:rPr>
                <w:noProof/>
                <w:webHidden/>
                <w:color w:val="7030A0"/>
              </w:rPr>
              <w:fldChar w:fldCharType="begin"/>
            </w:r>
            <w:r w:rsidRPr="00C92BCB">
              <w:rPr>
                <w:noProof/>
                <w:webHidden/>
                <w:color w:val="7030A0"/>
              </w:rPr>
              <w:instrText xml:space="preserve"> PAGEREF _Toc151733578 \h </w:instrText>
            </w:r>
            <w:r w:rsidRPr="00C92BCB">
              <w:rPr>
                <w:noProof/>
                <w:webHidden/>
                <w:color w:val="7030A0"/>
              </w:rPr>
            </w:r>
            <w:r w:rsidRPr="00C92BCB">
              <w:rPr>
                <w:noProof/>
                <w:webHidden/>
                <w:color w:val="7030A0"/>
              </w:rPr>
              <w:fldChar w:fldCharType="separate"/>
            </w:r>
            <w:r w:rsidRPr="00C92BCB">
              <w:rPr>
                <w:noProof/>
                <w:webHidden/>
                <w:color w:val="7030A0"/>
              </w:rPr>
              <w:t>5</w:t>
            </w:r>
            <w:r w:rsidRPr="00C92BCB">
              <w:rPr>
                <w:noProof/>
                <w:webHidden/>
                <w:color w:val="7030A0"/>
              </w:rPr>
              <w:fldChar w:fldCharType="end"/>
            </w:r>
          </w:hyperlink>
        </w:p>
        <w:p w14:paraId="095575C2" w14:textId="41377EF3" w:rsidR="00C92BCB" w:rsidRPr="00C92BCB" w:rsidRDefault="00C92BCB">
          <w:pPr>
            <w:pStyle w:val="TOC2"/>
            <w:rPr>
              <w:rFonts w:eastAsiaTheme="minorEastAsia" w:cstheme="minorBidi"/>
              <w:b w:val="0"/>
              <w:bCs w:val="0"/>
              <w:noProof/>
              <w:color w:val="7030A0"/>
              <w:kern w:val="2"/>
              <w:lang w:eastAsia="en-GB"/>
              <w14:ligatures w14:val="standardContextual"/>
            </w:rPr>
          </w:pPr>
          <w:hyperlink w:anchor="_Toc151733579" w:history="1">
            <w:r w:rsidRPr="00C92BCB">
              <w:rPr>
                <w:rStyle w:val="Hyperlink"/>
                <w:noProof/>
                <w:color w:val="7030A0"/>
              </w:rPr>
              <w:t>4.0</w:t>
            </w:r>
            <w:r w:rsidRPr="00C92BCB">
              <w:rPr>
                <w:rFonts w:eastAsiaTheme="minorEastAsia" w:cstheme="minorBidi"/>
                <w:b w:val="0"/>
                <w:bCs w:val="0"/>
                <w:noProof/>
                <w:color w:val="7030A0"/>
                <w:kern w:val="2"/>
                <w:lang w:eastAsia="en-GB"/>
                <w14:ligatures w14:val="standardContextual"/>
              </w:rPr>
              <w:tab/>
            </w:r>
            <w:r w:rsidRPr="00C92BCB">
              <w:rPr>
                <w:rStyle w:val="Hyperlink"/>
                <w:noProof/>
                <w:color w:val="7030A0"/>
              </w:rPr>
              <w:t>ADMISSIONS CRITERIA</w:t>
            </w:r>
            <w:r w:rsidRPr="00C92BCB">
              <w:rPr>
                <w:noProof/>
                <w:webHidden/>
                <w:color w:val="7030A0"/>
              </w:rPr>
              <w:tab/>
            </w:r>
            <w:r w:rsidRPr="00C92BCB">
              <w:rPr>
                <w:noProof/>
                <w:webHidden/>
                <w:color w:val="7030A0"/>
              </w:rPr>
              <w:fldChar w:fldCharType="begin"/>
            </w:r>
            <w:r w:rsidRPr="00C92BCB">
              <w:rPr>
                <w:noProof/>
                <w:webHidden/>
                <w:color w:val="7030A0"/>
              </w:rPr>
              <w:instrText xml:space="preserve"> PAGEREF _Toc151733579 \h </w:instrText>
            </w:r>
            <w:r w:rsidRPr="00C92BCB">
              <w:rPr>
                <w:noProof/>
                <w:webHidden/>
                <w:color w:val="7030A0"/>
              </w:rPr>
            </w:r>
            <w:r w:rsidRPr="00C92BCB">
              <w:rPr>
                <w:noProof/>
                <w:webHidden/>
                <w:color w:val="7030A0"/>
              </w:rPr>
              <w:fldChar w:fldCharType="separate"/>
            </w:r>
            <w:r w:rsidRPr="00C92BCB">
              <w:rPr>
                <w:noProof/>
                <w:webHidden/>
                <w:color w:val="7030A0"/>
              </w:rPr>
              <w:t>5</w:t>
            </w:r>
            <w:r w:rsidRPr="00C92BCB">
              <w:rPr>
                <w:noProof/>
                <w:webHidden/>
                <w:color w:val="7030A0"/>
              </w:rPr>
              <w:fldChar w:fldCharType="end"/>
            </w:r>
          </w:hyperlink>
        </w:p>
        <w:p w14:paraId="2E93465B" w14:textId="3CE5396C" w:rsidR="00C92BCB" w:rsidRPr="00C92BCB" w:rsidRDefault="00C92BCB">
          <w:pPr>
            <w:pStyle w:val="TOC2"/>
            <w:rPr>
              <w:rFonts w:eastAsiaTheme="minorEastAsia" w:cstheme="minorBidi"/>
              <w:b w:val="0"/>
              <w:bCs w:val="0"/>
              <w:noProof/>
              <w:color w:val="7030A0"/>
              <w:kern w:val="2"/>
              <w:lang w:eastAsia="en-GB"/>
              <w14:ligatures w14:val="standardContextual"/>
            </w:rPr>
          </w:pPr>
          <w:hyperlink w:anchor="_Toc151733580" w:history="1">
            <w:r w:rsidRPr="00C92BCB">
              <w:rPr>
                <w:rStyle w:val="Hyperlink"/>
                <w:noProof/>
                <w:color w:val="7030A0"/>
              </w:rPr>
              <w:t>5.0</w:t>
            </w:r>
            <w:r w:rsidRPr="00C92BCB">
              <w:rPr>
                <w:rFonts w:eastAsiaTheme="minorEastAsia" w:cstheme="minorBidi"/>
                <w:b w:val="0"/>
                <w:bCs w:val="0"/>
                <w:noProof/>
                <w:color w:val="7030A0"/>
                <w:kern w:val="2"/>
                <w:lang w:eastAsia="en-GB"/>
                <w14:ligatures w14:val="standardContextual"/>
              </w:rPr>
              <w:tab/>
            </w:r>
            <w:r w:rsidRPr="00C92BCB">
              <w:rPr>
                <w:rStyle w:val="Hyperlink"/>
                <w:noProof/>
                <w:color w:val="7030A0"/>
              </w:rPr>
              <w:t>APPEALS AGAINST ANY REFUSAL TO ACCEPT A REFERRAL</w:t>
            </w:r>
            <w:r w:rsidRPr="00C92BCB">
              <w:rPr>
                <w:noProof/>
                <w:webHidden/>
                <w:color w:val="7030A0"/>
              </w:rPr>
              <w:tab/>
            </w:r>
            <w:r w:rsidRPr="00C92BCB">
              <w:rPr>
                <w:noProof/>
                <w:webHidden/>
                <w:color w:val="7030A0"/>
              </w:rPr>
              <w:fldChar w:fldCharType="begin"/>
            </w:r>
            <w:r w:rsidRPr="00C92BCB">
              <w:rPr>
                <w:noProof/>
                <w:webHidden/>
                <w:color w:val="7030A0"/>
              </w:rPr>
              <w:instrText xml:space="preserve"> PAGEREF _Toc151733580 \h </w:instrText>
            </w:r>
            <w:r w:rsidRPr="00C92BCB">
              <w:rPr>
                <w:noProof/>
                <w:webHidden/>
                <w:color w:val="7030A0"/>
              </w:rPr>
            </w:r>
            <w:r w:rsidRPr="00C92BCB">
              <w:rPr>
                <w:noProof/>
                <w:webHidden/>
                <w:color w:val="7030A0"/>
              </w:rPr>
              <w:fldChar w:fldCharType="separate"/>
            </w:r>
            <w:r w:rsidRPr="00C92BCB">
              <w:rPr>
                <w:noProof/>
                <w:webHidden/>
                <w:color w:val="7030A0"/>
              </w:rPr>
              <w:t>6</w:t>
            </w:r>
            <w:r w:rsidRPr="00C92BCB">
              <w:rPr>
                <w:noProof/>
                <w:webHidden/>
                <w:color w:val="7030A0"/>
              </w:rPr>
              <w:fldChar w:fldCharType="end"/>
            </w:r>
          </w:hyperlink>
        </w:p>
        <w:p w14:paraId="62FEDFB9" w14:textId="2EC196A2" w:rsidR="00C92BCB" w:rsidRPr="00C92BCB" w:rsidRDefault="00C92BCB">
          <w:pPr>
            <w:pStyle w:val="TOC2"/>
            <w:rPr>
              <w:rFonts w:eastAsiaTheme="minorEastAsia" w:cstheme="minorBidi"/>
              <w:b w:val="0"/>
              <w:bCs w:val="0"/>
              <w:noProof/>
              <w:color w:val="7030A0"/>
              <w:kern w:val="2"/>
              <w:lang w:eastAsia="en-GB"/>
              <w14:ligatures w14:val="standardContextual"/>
            </w:rPr>
          </w:pPr>
          <w:hyperlink w:anchor="_Toc151733581" w:history="1">
            <w:r w:rsidRPr="00C92BCB">
              <w:rPr>
                <w:rStyle w:val="Hyperlink"/>
                <w:noProof/>
                <w:color w:val="7030A0"/>
              </w:rPr>
              <w:t>6.0</w:t>
            </w:r>
            <w:r w:rsidRPr="00C92BCB">
              <w:rPr>
                <w:rFonts w:eastAsiaTheme="minorEastAsia" w:cstheme="minorBidi"/>
                <w:b w:val="0"/>
                <w:bCs w:val="0"/>
                <w:noProof/>
                <w:color w:val="7030A0"/>
                <w:kern w:val="2"/>
                <w:lang w:eastAsia="en-GB"/>
                <w14:ligatures w14:val="standardContextual"/>
              </w:rPr>
              <w:tab/>
            </w:r>
            <w:r w:rsidRPr="00C92BCB">
              <w:rPr>
                <w:rStyle w:val="Hyperlink"/>
                <w:noProof/>
                <w:color w:val="7030A0"/>
              </w:rPr>
              <w:t>REINTEGRATION AND NEXT PHASE PROVISION</w:t>
            </w:r>
            <w:r w:rsidRPr="00C92BCB">
              <w:rPr>
                <w:noProof/>
                <w:webHidden/>
                <w:color w:val="7030A0"/>
              </w:rPr>
              <w:tab/>
            </w:r>
            <w:r w:rsidRPr="00C92BCB">
              <w:rPr>
                <w:noProof/>
                <w:webHidden/>
                <w:color w:val="7030A0"/>
              </w:rPr>
              <w:fldChar w:fldCharType="begin"/>
            </w:r>
            <w:r w:rsidRPr="00C92BCB">
              <w:rPr>
                <w:noProof/>
                <w:webHidden/>
                <w:color w:val="7030A0"/>
              </w:rPr>
              <w:instrText xml:space="preserve"> PAGEREF _Toc151733581 \h </w:instrText>
            </w:r>
            <w:r w:rsidRPr="00C92BCB">
              <w:rPr>
                <w:noProof/>
                <w:webHidden/>
                <w:color w:val="7030A0"/>
              </w:rPr>
            </w:r>
            <w:r w:rsidRPr="00C92BCB">
              <w:rPr>
                <w:noProof/>
                <w:webHidden/>
                <w:color w:val="7030A0"/>
              </w:rPr>
              <w:fldChar w:fldCharType="separate"/>
            </w:r>
            <w:r w:rsidRPr="00C92BCB">
              <w:rPr>
                <w:noProof/>
                <w:webHidden/>
                <w:color w:val="7030A0"/>
              </w:rPr>
              <w:t>6</w:t>
            </w:r>
            <w:r w:rsidRPr="00C92BCB">
              <w:rPr>
                <w:noProof/>
                <w:webHidden/>
                <w:color w:val="7030A0"/>
              </w:rPr>
              <w:fldChar w:fldCharType="end"/>
            </w:r>
          </w:hyperlink>
        </w:p>
        <w:p w14:paraId="54B4D98A" w14:textId="66D9A285" w:rsidR="00D1603A" w:rsidRPr="00703BC9" w:rsidRDefault="00D1603A">
          <w:pPr>
            <w:rPr>
              <w:rFonts w:ascii="Calibri" w:hAnsi="Calibri"/>
              <w:bCs/>
              <w:color w:val="7030A0"/>
            </w:rPr>
          </w:pPr>
          <w:r w:rsidRPr="00DC5809">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558438F4" w14:textId="77777777" w:rsidR="00DC5809" w:rsidRDefault="00DC5809" w:rsidP="005B2EA0">
      <w:pPr>
        <w:ind w:left="-567" w:right="-22"/>
        <w:rPr>
          <w:color w:val="7030A0"/>
        </w:rPr>
      </w:pPr>
    </w:p>
    <w:p w14:paraId="5D32EC21" w14:textId="77777777" w:rsidR="00DC5809" w:rsidRDefault="00DC5809" w:rsidP="005B2EA0">
      <w:pPr>
        <w:ind w:left="-567" w:right="-22"/>
        <w:rPr>
          <w:color w:val="7030A0"/>
        </w:rPr>
      </w:pPr>
    </w:p>
    <w:p w14:paraId="6EF9964E" w14:textId="77777777" w:rsidR="00DC5809" w:rsidRDefault="00DC5809" w:rsidP="005B2EA0">
      <w:pPr>
        <w:ind w:left="-567" w:right="-22"/>
        <w:rPr>
          <w:color w:val="7030A0"/>
        </w:rPr>
      </w:pPr>
    </w:p>
    <w:p w14:paraId="6A4214A8" w14:textId="77777777" w:rsidR="00DC5809" w:rsidRDefault="00DC5809" w:rsidP="005B2EA0">
      <w:pPr>
        <w:ind w:left="-567" w:right="-22"/>
        <w:rPr>
          <w:color w:val="7030A0"/>
        </w:rPr>
      </w:pPr>
    </w:p>
    <w:p w14:paraId="43C6ADCC" w14:textId="77777777" w:rsidR="00DC5809" w:rsidRDefault="00DC5809" w:rsidP="005B2EA0">
      <w:pPr>
        <w:ind w:left="-567" w:right="-22"/>
        <w:rPr>
          <w:color w:val="7030A0"/>
        </w:rPr>
      </w:pPr>
    </w:p>
    <w:p w14:paraId="65C35699" w14:textId="77777777" w:rsidR="00DC5809" w:rsidRDefault="00DC5809" w:rsidP="005B2EA0">
      <w:pPr>
        <w:ind w:left="-567" w:right="-22"/>
        <w:rPr>
          <w:color w:val="7030A0"/>
        </w:rPr>
      </w:pPr>
    </w:p>
    <w:p w14:paraId="12E0D417" w14:textId="77777777" w:rsidR="00DC5809" w:rsidRDefault="00DC5809" w:rsidP="005B2EA0">
      <w:pPr>
        <w:ind w:left="-567" w:right="-22"/>
        <w:rPr>
          <w:color w:val="7030A0"/>
        </w:rPr>
      </w:pPr>
    </w:p>
    <w:p w14:paraId="544177A2" w14:textId="77777777" w:rsidR="00DC5809" w:rsidRDefault="00DC5809" w:rsidP="005B2EA0">
      <w:pPr>
        <w:ind w:left="-567" w:right="-22"/>
        <w:rPr>
          <w:color w:val="7030A0"/>
        </w:rPr>
      </w:pPr>
    </w:p>
    <w:p w14:paraId="3E3B3745" w14:textId="77777777" w:rsidR="00DC5809" w:rsidRDefault="00DC5809" w:rsidP="005B2EA0">
      <w:pPr>
        <w:ind w:left="-567" w:right="-22"/>
        <w:rPr>
          <w:color w:val="7030A0"/>
        </w:rPr>
      </w:pPr>
    </w:p>
    <w:p w14:paraId="7E17D481" w14:textId="77777777" w:rsidR="00DC5809" w:rsidRDefault="00DC5809" w:rsidP="005B2EA0">
      <w:pPr>
        <w:ind w:left="-567" w:right="-22"/>
        <w:rPr>
          <w:color w:val="7030A0"/>
        </w:rPr>
      </w:pPr>
    </w:p>
    <w:p w14:paraId="07CAF146" w14:textId="77777777" w:rsidR="00DC5809" w:rsidRDefault="00DC5809" w:rsidP="005B2EA0">
      <w:pPr>
        <w:ind w:left="-567" w:right="-22"/>
        <w:rPr>
          <w:color w:val="7030A0"/>
        </w:rPr>
      </w:pPr>
    </w:p>
    <w:p w14:paraId="2614328A" w14:textId="77777777" w:rsidR="00DC5809" w:rsidRDefault="00DC5809" w:rsidP="005B2EA0">
      <w:pPr>
        <w:ind w:left="-567" w:right="-22"/>
        <w:rPr>
          <w:color w:val="7030A0"/>
        </w:rPr>
      </w:pPr>
    </w:p>
    <w:p w14:paraId="0B52449A" w14:textId="77777777" w:rsidR="00DC5809" w:rsidRDefault="00DC5809" w:rsidP="005B2EA0">
      <w:pPr>
        <w:ind w:left="-567" w:right="-22"/>
        <w:rPr>
          <w:color w:val="7030A0"/>
        </w:rPr>
      </w:pPr>
    </w:p>
    <w:p w14:paraId="21693BCE" w14:textId="77777777" w:rsidR="00DC5809" w:rsidRDefault="00DC5809"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A65D435" w14:textId="67BC59FB" w:rsidR="00771039" w:rsidRDefault="002B6813">
      <w:pPr>
        <w:pStyle w:val="Heading2"/>
        <w:numPr>
          <w:ilvl w:val="0"/>
          <w:numId w:val="4"/>
        </w:numPr>
        <w:jc w:val="both"/>
        <w:rPr>
          <w:rFonts w:asciiTheme="minorHAnsi" w:hAnsiTheme="minorHAnsi" w:cstheme="minorHAnsi"/>
          <w:b/>
          <w:bCs/>
          <w:color w:val="7030A0"/>
          <w:sz w:val="22"/>
          <w:szCs w:val="22"/>
        </w:rPr>
      </w:pPr>
      <w:bookmarkStart w:id="0" w:name="_Toc151733576"/>
      <w:r>
        <w:rPr>
          <w:rFonts w:asciiTheme="minorHAnsi" w:hAnsiTheme="minorHAnsi" w:cstheme="minorHAnsi"/>
          <w:b/>
          <w:bCs/>
          <w:color w:val="7030A0"/>
          <w:sz w:val="22"/>
          <w:szCs w:val="22"/>
        </w:rPr>
        <w:lastRenderedPageBreak/>
        <w:t>INTRODUCTION</w:t>
      </w:r>
      <w:bookmarkEnd w:id="0"/>
      <w:r>
        <w:rPr>
          <w:rFonts w:asciiTheme="minorHAnsi" w:hAnsiTheme="minorHAnsi" w:cstheme="minorHAnsi"/>
          <w:b/>
          <w:bCs/>
          <w:color w:val="7030A0"/>
          <w:sz w:val="22"/>
          <w:szCs w:val="22"/>
        </w:rPr>
        <w:t xml:space="preserve"> </w:t>
      </w:r>
    </w:p>
    <w:p w14:paraId="3E560603" w14:textId="3435E050" w:rsidR="0073370B" w:rsidRDefault="0073370B" w:rsidP="003644A0">
      <w:pPr>
        <w:ind w:left="720"/>
        <w:rPr>
          <w:rFonts w:asciiTheme="minorHAnsi" w:hAnsiTheme="minorHAnsi" w:cstheme="minorHAnsi"/>
        </w:rPr>
      </w:pPr>
      <w:r w:rsidRPr="0073370B">
        <w:rPr>
          <w:rFonts w:asciiTheme="minorHAnsi" w:hAnsiTheme="minorHAnsi" w:cstheme="minorHAnsi"/>
        </w:rPr>
        <w:t>The Heights</w:t>
      </w:r>
      <w:r w:rsidR="009E245A">
        <w:rPr>
          <w:rFonts w:asciiTheme="minorHAnsi" w:hAnsiTheme="minorHAnsi" w:cstheme="minorHAnsi"/>
        </w:rPr>
        <w:t>,</w:t>
      </w:r>
      <w:r w:rsidRPr="0073370B">
        <w:rPr>
          <w:rFonts w:asciiTheme="minorHAnsi" w:hAnsiTheme="minorHAnsi" w:cstheme="minorHAnsi"/>
        </w:rPr>
        <w:t xml:space="preserve"> Burnley </w:t>
      </w:r>
      <w:r w:rsidR="009E245A">
        <w:rPr>
          <w:rFonts w:asciiTheme="minorHAnsi" w:hAnsiTheme="minorHAnsi" w:cstheme="minorHAnsi"/>
        </w:rPr>
        <w:t xml:space="preserve">provides Alternative Provision </w:t>
      </w:r>
      <w:r w:rsidR="002E513C">
        <w:rPr>
          <w:rFonts w:asciiTheme="minorHAnsi" w:hAnsiTheme="minorHAnsi" w:cstheme="minorHAnsi"/>
        </w:rPr>
        <w:t xml:space="preserve">accessible to all schools within Burnley and the surrounding areas, offering bespoke opportunities across the Key Stages on both a part-time and full-time basis . </w:t>
      </w:r>
    </w:p>
    <w:p w14:paraId="007625B6" w14:textId="2C559A7F" w:rsidR="002E513C" w:rsidRDefault="002E513C" w:rsidP="003644A0">
      <w:pPr>
        <w:ind w:left="720"/>
        <w:rPr>
          <w:rFonts w:asciiTheme="minorHAnsi" w:hAnsiTheme="minorHAnsi" w:cstheme="minorHAnsi"/>
        </w:rPr>
      </w:pPr>
      <w:r>
        <w:rPr>
          <w:rFonts w:asciiTheme="minorHAnsi" w:hAnsiTheme="minorHAnsi" w:cstheme="minorHAnsi"/>
        </w:rPr>
        <w:t xml:space="preserve">We work closely with key stakeholders to ensure we provide quality provision tailored to the needs of our students. </w:t>
      </w:r>
    </w:p>
    <w:p w14:paraId="094FC48A" w14:textId="2F10BD98" w:rsidR="00895DEC" w:rsidRDefault="00895DEC" w:rsidP="003644A0">
      <w:pPr>
        <w:ind w:firstLine="720"/>
        <w:rPr>
          <w:rFonts w:asciiTheme="minorHAnsi" w:hAnsiTheme="minorHAnsi" w:cstheme="minorHAnsi"/>
        </w:rPr>
      </w:pPr>
      <w:r>
        <w:rPr>
          <w:rFonts w:asciiTheme="minorHAnsi" w:hAnsiTheme="minorHAnsi" w:cstheme="minorHAnsi"/>
        </w:rPr>
        <w:t xml:space="preserve">The Heights Burnley will provide education for: </w:t>
      </w:r>
    </w:p>
    <w:p w14:paraId="56F847CD" w14:textId="0CBBC93D" w:rsidR="00F36B62" w:rsidRPr="000F5E65" w:rsidRDefault="00895DEC" w:rsidP="000F5E65">
      <w:pPr>
        <w:pStyle w:val="ListParagraph"/>
        <w:numPr>
          <w:ilvl w:val="0"/>
          <w:numId w:val="18"/>
        </w:numPr>
        <w:rPr>
          <w:rFonts w:asciiTheme="minorHAnsi" w:hAnsiTheme="minorHAnsi" w:cstheme="minorHAnsi"/>
        </w:rPr>
      </w:pPr>
      <w:r w:rsidRPr="000F5E65">
        <w:rPr>
          <w:rFonts w:asciiTheme="minorHAnsi" w:hAnsiTheme="minorHAnsi" w:cstheme="minorHAnsi"/>
        </w:rPr>
        <w:t>Students who are showing a level of disengagement from mainstream provision which is placing them at risk of exclusion</w:t>
      </w:r>
    </w:p>
    <w:p w14:paraId="4C3B4F36" w14:textId="70130F28" w:rsidR="00F36B62" w:rsidRDefault="00F36B62" w:rsidP="000F5E65">
      <w:pPr>
        <w:pStyle w:val="ListParagraph"/>
        <w:numPr>
          <w:ilvl w:val="0"/>
          <w:numId w:val="18"/>
        </w:numPr>
        <w:rPr>
          <w:rFonts w:asciiTheme="minorHAnsi" w:hAnsiTheme="minorHAnsi" w:cstheme="minorHAnsi"/>
        </w:rPr>
      </w:pPr>
      <w:r w:rsidRPr="000F5E65">
        <w:rPr>
          <w:rFonts w:asciiTheme="minorHAnsi" w:hAnsiTheme="minorHAnsi" w:cstheme="minorHAnsi"/>
        </w:rPr>
        <w:t xml:space="preserve">Students causing significant concern in school which </w:t>
      </w:r>
      <w:r w:rsidR="00672740" w:rsidRPr="000F5E65">
        <w:rPr>
          <w:rFonts w:asciiTheme="minorHAnsi" w:hAnsiTheme="minorHAnsi" w:cstheme="minorHAnsi"/>
        </w:rPr>
        <w:t>is affecting their progress and would benefit from alternative provision to re-engage them</w:t>
      </w:r>
    </w:p>
    <w:p w14:paraId="52B04C45" w14:textId="73EA6B2B" w:rsidR="00721ACA" w:rsidRDefault="00721ACA" w:rsidP="003644A0">
      <w:pPr>
        <w:ind w:firstLine="720"/>
        <w:rPr>
          <w:rFonts w:asciiTheme="minorHAnsi" w:hAnsiTheme="minorHAnsi" w:cstheme="minorHAnsi"/>
        </w:rPr>
      </w:pPr>
      <w:r>
        <w:rPr>
          <w:rFonts w:asciiTheme="minorHAnsi" w:hAnsiTheme="minorHAnsi" w:cstheme="minorHAnsi"/>
        </w:rPr>
        <w:t xml:space="preserve">The aim of The Heights is to: </w:t>
      </w:r>
    </w:p>
    <w:p w14:paraId="36D6B6DD" w14:textId="36832403" w:rsidR="00721ACA" w:rsidRPr="001D4E46" w:rsidRDefault="00721ACA" w:rsidP="001D4E46">
      <w:pPr>
        <w:pStyle w:val="ListParagraph"/>
        <w:numPr>
          <w:ilvl w:val="0"/>
          <w:numId w:val="19"/>
        </w:numPr>
        <w:rPr>
          <w:rFonts w:asciiTheme="minorHAnsi" w:hAnsiTheme="minorHAnsi" w:cstheme="minorHAnsi"/>
        </w:rPr>
      </w:pPr>
      <w:r w:rsidRPr="001D4E46">
        <w:rPr>
          <w:rFonts w:asciiTheme="minorHAnsi" w:hAnsiTheme="minorHAnsi" w:cstheme="minorHAnsi"/>
        </w:rPr>
        <w:t>Re-engage</w:t>
      </w:r>
      <w:r w:rsidR="003574D7" w:rsidRPr="001D4E46">
        <w:rPr>
          <w:rFonts w:asciiTheme="minorHAnsi" w:hAnsiTheme="minorHAnsi" w:cstheme="minorHAnsi"/>
        </w:rPr>
        <w:t xml:space="preserve"> students with learning </w:t>
      </w:r>
    </w:p>
    <w:p w14:paraId="608556E7" w14:textId="5E2AB423" w:rsidR="003574D7" w:rsidRPr="001D4E46" w:rsidRDefault="003574D7" w:rsidP="001D4E46">
      <w:pPr>
        <w:pStyle w:val="ListParagraph"/>
        <w:numPr>
          <w:ilvl w:val="0"/>
          <w:numId w:val="19"/>
        </w:numPr>
        <w:rPr>
          <w:rFonts w:asciiTheme="minorHAnsi" w:hAnsiTheme="minorHAnsi" w:cstheme="minorHAnsi"/>
        </w:rPr>
      </w:pPr>
      <w:r w:rsidRPr="001D4E46">
        <w:rPr>
          <w:rFonts w:asciiTheme="minorHAnsi" w:hAnsiTheme="minorHAnsi" w:cstheme="minorHAnsi"/>
        </w:rPr>
        <w:t xml:space="preserve">Secure good progress for learners in line with National expectations </w:t>
      </w:r>
    </w:p>
    <w:p w14:paraId="63A47A43" w14:textId="7DC7AC30" w:rsidR="003574D7" w:rsidRPr="001D4E46" w:rsidRDefault="003574D7" w:rsidP="001D4E46">
      <w:pPr>
        <w:pStyle w:val="ListParagraph"/>
        <w:numPr>
          <w:ilvl w:val="0"/>
          <w:numId w:val="19"/>
        </w:numPr>
        <w:rPr>
          <w:rFonts w:asciiTheme="minorHAnsi" w:hAnsiTheme="minorHAnsi" w:cstheme="minorHAnsi"/>
        </w:rPr>
      </w:pPr>
      <w:r w:rsidRPr="001D4E46">
        <w:rPr>
          <w:rFonts w:asciiTheme="minorHAnsi" w:hAnsiTheme="minorHAnsi" w:cstheme="minorHAnsi"/>
        </w:rPr>
        <w:t xml:space="preserve">Prepare learners fir the next phase of their education or </w:t>
      </w:r>
      <w:r w:rsidR="001D4E46" w:rsidRPr="001D4E46">
        <w:rPr>
          <w:rFonts w:asciiTheme="minorHAnsi" w:hAnsiTheme="minorHAnsi" w:cstheme="minorHAnsi"/>
        </w:rPr>
        <w:t>positive</w:t>
      </w:r>
      <w:r w:rsidRPr="001D4E46">
        <w:rPr>
          <w:rFonts w:asciiTheme="minorHAnsi" w:hAnsiTheme="minorHAnsi" w:cstheme="minorHAnsi"/>
        </w:rPr>
        <w:t xml:space="preserve"> destinations</w:t>
      </w:r>
      <w:r w:rsidR="001D4E46" w:rsidRPr="001D4E46">
        <w:rPr>
          <w:rFonts w:asciiTheme="minorHAnsi" w:hAnsiTheme="minorHAnsi" w:cstheme="minorHAnsi"/>
        </w:rPr>
        <w:t xml:space="preserve"> at 16 (EET)</w:t>
      </w:r>
    </w:p>
    <w:p w14:paraId="38D990D2" w14:textId="77777777" w:rsidR="00721ACA" w:rsidRPr="00721ACA" w:rsidRDefault="00721ACA" w:rsidP="00721ACA">
      <w:pPr>
        <w:rPr>
          <w:rFonts w:asciiTheme="minorHAnsi" w:hAnsiTheme="minorHAnsi" w:cstheme="minorHAnsi"/>
        </w:rPr>
      </w:pPr>
    </w:p>
    <w:p w14:paraId="69FF2CAC" w14:textId="46C8A33F" w:rsidR="004C4313" w:rsidRDefault="00307E27" w:rsidP="00703BC9">
      <w:pPr>
        <w:pStyle w:val="Heading2"/>
        <w:ind w:left="9"/>
        <w:jc w:val="both"/>
        <w:rPr>
          <w:rFonts w:asciiTheme="minorHAnsi" w:hAnsiTheme="minorHAnsi" w:cstheme="minorHAnsi"/>
          <w:b/>
          <w:bCs/>
          <w:color w:val="7030A0"/>
          <w:sz w:val="22"/>
          <w:szCs w:val="22"/>
        </w:rPr>
      </w:pPr>
      <w:bookmarkStart w:id="1" w:name="_Toc151733577"/>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2B6813">
        <w:rPr>
          <w:rFonts w:asciiTheme="minorHAnsi" w:hAnsiTheme="minorHAnsi" w:cstheme="minorHAnsi"/>
          <w:b/>
          <w:bCs/>
          <w:color w:val="7030A0"/>
          <w:sz w:val="22"/>
          <w:szCs w:val="22"/>
        </w:rPr>
        <w:t>ADMISSION ARRANGEMENTS</w:t>
      </w:r>
      <w:bookmarkEnd w:id="1"/>
      <w:r w:rsidR="002B6813">
        <w:rPr>
          <w:rFonts w:asciiTheme="minorHAnsi" w:hAnsiTheme="minorHAnsi" w:cstheme="minorHAnsi"/>
          <w:b/>
          <w:bCs/>
          <w:color w:val="7030A0"/>
          <w:sz w:val="22"/>
          <w:szCs w:val="22"/>
        </w:rPr>
        <w:t xml:space="preserve"> </w:t>
      </w:r>
    </w:p>
    <w:p w14:paraId="52013B62" w14:textId="77777777" w:rsidR="00233A89" w:rsidRDefault="001D4E46" w:rsidP="003644A0">
      <w:pPr>
        <w:spacing w:before="22"/>
        <w:ind w:left="720" w:right="625"/>
        <w:jc w:val="both"/>
        <w:rPr>
          <w:rFonts w:ascii="Calibri" w:eastAsia="Calibri" w:hAnsi="Calibri" w:cs="Calibri"/>
          <w:color w:val="2A2A2A"/>
        </w:rPr>
      </w:pPr>
      <w:r w:rsidRPr="001D4E46">
        <w:rPr>
          <w:rFonts w:asciiTheme="minorHAnsi" w:hAnsiTheme="minorHAnsi" w:cstheme="minorHAnsi"/>
        </w:rPr>
        <w:t xml:space="preserve">The Heights Burnley </w:t>
      </w:r>
      <w:r w:rsidR="00233A89">
        <w:rPr>
          <w:rFonts w:ascii="Calibri" w:eastAsia="Calibri" w:hAnsi="Calibri" w:cs="Calibri"/>
          <w:color w:val="2A2A2A"/>
        </w:rPr>
        <w:t>is   an   equal   opportunities   non-discriminatory   school   and   therefore   welcome applications  for  referrals  of  young  people  from  diverse  backgrounds  and  with  varying  needs.  Each referral is considered on a case-by case basis to ensure that the pupils we admit are those who will benefit most from the education provision we offer. The school operates a fair, objective and transparent admissions system, which includes a complaints procedure (available on request).</w:t>
      </w:r>
    </w:p>
    <w:p w14:paraId="1AA35A4A" w14:textId="3973AF9B" w:rsidR="00BE2E0D" w:rsidRDefault="00BE2E0D" w:rsidP="00A3007D">
      <w:pPr>
        <w:spacing w:before="22"/>
        <w:ind w:left="720" w:right="625"/>
        <w:jc w:val="both"/>
        <w:rPr>
          <w:rFonts w:ascii="Calibri" w:eastAsia="Calibri" w:hAnsi="Calibri" w:cs="Calibri"/>
          <w:color w:val="2A2A2A"/>
        </w:rPr>
      </w:pPr>
      <w:r>
        <w:rPr>
          <w:rFonts w:ascii="Calibri" w:eastAsia="Calibri" w:hAnsi="Calibri" w:cs="Calibri"/>
          <w:color w:val="2A2A2A"/>
        </w:rPr>
        <w:t>The Heights Burnley</w:t>
      </w:r>
      <w:r w:rsidR="00C95B0A">
        <w:rPr>
          <w:rFonts w:ascii="Calibri" w:eastAsia="Calibri" w:hAnsi="Calibri" w:cs="Calibri"/>
          <w:color w:val="2A2A2A"/>
        </w:rPr>
        <w:t xml:space="preserve"> currently offers 150 FTE places overall which are split over the Key Stages as follows: </w:t>
      </w:r>
    </w:p>
    <w:p w14:paraId="69DDD9C0" w14:textId="6EDE91E4" w:rsidR="003D2325" w:rsidRPr="005B2AC1" w:rsidRDefault="003D2325" w:rsidP="005B2AC1">
      <w:pPr>
        <w:pStyle w:val="ListParagraph"/>
        <w:numPr>
          <w:ilvl w:val="0"/>
          <w:numId w:val="20"/>
        </w:numPr>
        <w:spacing w:before="22"/>
        <w:ind w:right="625"/>
        <w:jc w:val="both"/>
        <w:rPr>
          <w:rFonts w:ascii="Calibri" w:eastAsia="Calibri" w:hAnsi="Calibri" w:cs="Calibri"/>
          <w:color w:val="2A2A2A"/>
        </w:rPr>
      </w:pPr>
      <w:r w:rsidRPr="005B2AC1">
        <w:rPr>
          <w:rFonts w:ascii="Calibri" w:eastAsia="Calibri" w:hAnsi="Calibri" w:cs="Calibri"/>
          <w:color w:val="2A2A2A"/>
        </w:rPr>
        <w:t>Key Stage 2 Provision – 8 FTE places</w:t>
      </w:r>
    </w:p>
    <w:p w14:paraId="0612373E" w14:textId="7117EC7F" w:rsidR="003D2325" w:rsidRPr="005B2AC1" w:rsidRDefault="003D2325" w:rsidP="005B2AC1">
      <w:pPr>
        <w:pStyle w:val="ListParagraph"/>
        <w:numPr>
          <w:ilvl w:val="0"/>
          <w:numId w:val="20"/>
        </w:numPr>
        <w:spacing w:before="22"/>
        <w:ind w:right="625"/>
        <w:jc w:val="both"/>
        <w:rPr>
          <w:rFonts w:ascii="Calibri" w:eastAsia="Calibri" w:hAnsi="Calibri" w:cs="Calibri"/>
          <w:color w:val="2A2A2A"/>
        </w:rPr>
      </w:pPr>
      <w:r w:rsidRPr="005B2AC1">
        <w:rPr>
          <w:rFonts w:ascii="Calibri" w:eastAsia="Calibri" w:hAnsi="Calibri" w:cs="Calibri"/>
          <w:color w:val="2A2A2A"/>
        </w:rPr>
        <w:t xml:space="preserve">Key Stage </w:t>
      </w:r>
      <w:r w:rsidR="00EC1057" w:rsidRPr="005B2AC1">
        <w:rPr>
          <w:rFonts w:ascii="Calibri" w:eastAsia="Calibri" w:hAnsi="Calibri" w:cs="Calibri"/>
          <w:color w:val="2A2A2A"/>
        </w:rPr>
        <w:t xml:space="preserve">3 Provision </w:t>
      </w:r>
      <w:r w:rsidR="00CF3EAA" w:rsidRPr="005B2AC1">
        <w:rPr>
          <w:rFonts w:ascii="Calibri" w:eastAsia="Calibri" w:hAnsi="Calibri" w:cs="Calibri"/>
          <w:color w:val="2A2A2A"/>
        </w:rPr>
        <w:t xml:space="preserve">– 30 FTE places </w:t>
      </w:r>
    </w:p>
    <w:p w14:paraId="3D78ABCE" w14:textId="6FF48980" w:rsidR="00CF3EAA" w:rsidRPr="005B2AC1" w:rsidRDefault="00CF3EAA" w:rsidP="005B2AC1">
      <w:pPr>
        <w:pStyle w:val="ListParagraph"/>
        <w:numPr>
          <w:ilvl w:val="0"/>
          <w:numId w:val="20"/>
        </w:numPr>
        <w:spacing w:before="22"/>
        <w:ind w:right="625"/>
        <w:jc w:val="both"/>
        <w:rPr>
          <w:rFonts w:ascii="Calibri" w:eastAsia="Calibri" w:hAnsi="Calibri" w:cs="Calibri"/>
          <w:color w:val="2A2A2A"/>
        </w:rPr>
      </w:pPr>
      <w:r w:rsidRPr="005B2AC1">
        <w:rPr>
          <w:rFonts w:ascii="Calibri" w:eastAsia="Calibri" w:hAnsi="Calibri" w:cs="Calibri"/>
          <w:color w:val="2A2A2A"/>
        </w:rPr>
        <w:t xml:space="preserve">Key Stage 4 Provision </w:t>
      </w:r>
      <w:r w:rsidR="000B647E" w:rsidRPr="005B2AC1">
        <w:rPr>
          <w:rFonts w:ascii="Calibri" w:eastAsia="Calibri" w:hAnsi="Calibri" w:cs="Calibri"/>
          <w:color w:val="2A2A2A"/>
        </w:rPr>
        <w:t xml:space="preserve">– 112 FTE places </w:t>
      </w:r>
    </w:p>
    <w:p w14:paraId="004C5C37" w14:textId="4577836C" w:rsidR="000B647E" w:rsidRDefault="000B647E" w:rsidP="00A3007D">
      <w:pPr>
        <w:spacing w:before="22"/>
        <w:ind w:left="720" w:right="625"/>
        <w:jc w:val="both"/>
        <w:rPr>
          <w:rFonts w:ascii="Calibri" w:eastAsia="Calibri" w:hAnsi="Calibri" w:cs="Calibri"/>
          <w:color w:val="2A2A2A"/>
        </w:rPr>
      </w:pPr>
      <w:r>
        <w:rPr>
          <w:rFonts w:ascii="Calibri" w:eastAsia="Calibri" w:hAnsi="Calibri" w:cs="Calibri"/>
          <w:color w:val="2A2A2A"/>
        </w:rPr>
        <w:t>Students will not</w:t>
      </w:r>
      <w:r w:rsidR="006A6037">
        <w:rPr>
          <w:rFonts w:ascii="Calibri" w:eastAsia="Calibri" w:hAnsi="Calibri" w:cs="Calibri"/>
          <w:color w:val="2A2A2A"/>
        </w:rPr>
        <w:t xml:space="preserve"> be admitted above the published admission number unless </w:t>
      </w:r>
      <w:r w:rsidR="001060A2">
        <w:rPr>
          <w:rFonts w:ascii="Calibri" w:eastAsia="Calibri" w:hAnsi="Calibri" w:cs="Calibri"/>
          <w:color w:val="2A2A2A"/>
        </w:rPr>
        <w:t>exceptional</w:t>
      </w:r>
      <w:r w:rsidR="006A6037">
        <w:rPr>
          <w:rFonts w:ascii="Calibri" w:eastAsia="Calibri" w:hAnsi="Calibri" w:cs="Calibri"/>
          <w:color w:val="2A2A2A"/>
        </w:rPr>
        <w:t xml:space="preserve"> circums</w:t>
      </w:r>
      <w:r w:rsidR="001060A2">
        <w:rPr>
          <w:rFonts w:ascii="Calibri" w:eastAsia="Calibri" w:hAnsi="Calibri" w:cs="Calibri"/>
          <w:color w:val="2A2A2A"/>
        </w:rPr>
        <w:t xml:space="preserve">tances apply. </w:t>
      </w:r>
    </w:p>
    <w:p w14:paraId="063ECF8B" w14:textId="12DBE6DD" w:rsidR="005B2AC1" w:rsidRDefault="005B2AC1" w:rsidP="00A3007D">
      <w:pPr>
        <w:spacing w:before="22"/>
        <w:ind w:right="625" w:firstLine="720"/>
        <w:jc w:val="both"/>
        <w:rPr>
          <w:rFonts w:ascii="Calibri" w:eastAsia="Calibri" w:hAnsi="Calibri" w:cs="Calibri"/>
          <w:color w:val="2A2A2A"/>
        </w:rPr>
      </w:pPr>
      <w:r>
        <w:rPr>
          <w:rFonts w:ascii="Calibri" w:eastAsia="Calibri" w:hAnsi="Calibri" w:cs="Calibri"/>
          <w:color w:val="2A2A2A"/>
        </w:rPr>
        <w:t xml:space="preserve">The Heights Burnley cannot accept applications from parents. </w:t>
      </w:r>
    </w:p>
    <w:p w14:paraId="0269FA95" w14:textId="7C3F9A1B" w:rsidR="005B2AC1" w:rsidRDefault="005B2AC1" w:rsidP="00A3007D">
      <w:pPr>
        <w:spacing w:before="22"/>
        <w:ind w:left="720" w:right="625"/>
        <w:jc w:val="both"/>
        <w:rPr>
          <w:rFonts w:ascii="Calibri" w:eastAsia="Calibri" w:hAnsi="Calibri" w:cs="Calibri"/>
          <w:color w:val="2A2A2A"/>
        </w:rPr>
      </w:pPr>
      <w:r>
        <w:rPr>
          <w:rFonts w:ascii="Calibri" w:eastAsia="Calibri" w:hAnsi="Calibri" w:cs="Calibri"/>
          <w:color w:val="2A2A2A"/>
        </w:rPr>
        <w:t xml:space="preserve">The Academy Trust shall have admission arrangements agreed with the </w:t>
      </w:r>
      <w:r w:rsidR="0028340D" w:rsidRPr="00B371B3">
        <w:rPr>
          <w:rFonts w:ascii="Calibri" w:eastAsia="Calibri" w:hAnsi="Calibri" w:cs="Calibri"/>
          <w:color w:val="2A2A2A"/>
        </w:rPr>
        <w:t>Department</w:t>
      </w:r>
      <w:r w:rsidR="00943B96" w:rsidRPr="00B371B3">
        <w:rPr>
          <w:rFonts w:ascii="Calibri" w:eastAsia="Calibri" w:hAnsi="Calibri" w:cs="Calibri"/>
          <w:color w:val="2A2A2A"/>
        </w:rPr>
        <w:t xml:space="preserve"> </w:t>
      </w:r>
      <w:r w:rsidR="00831E8A" w:rsidRPr="00B371B3">
        <w:rPr>
          <w:rFonts w:ascii="Calibri" w:eastAsia="Calibri" w:hAnsi="Calibri" w:cs="Calibri"/>
          <w:color w:val="2A2A2A"/>
        </w:rPr>
        <w:t xml:space="preserve">for </w:t>
      </w:r>
      <w:r w:rsidR="00943B96" w:rsidRPr="00B371B3">
        <w:rPr>
          <w:rFonts w:ascii="Calibri" w:eastAsia="Calibri" w:hAnsi="Calibri" w:cs="Calibri"/>
          <w:color w:val="2A2A2A"/>
        </w:rPr>
        <w:t>Education</w:t>
      </w:r>
      <w:r w:rsidR="0028340D">
        <w:rPr>
          <w:rFonts w:ascii="Calibri" w:eastAsia="Calibri" w:hAnsi="Calibri" w:cs="Calibri"/>
          <w:color w:val="2A2A2A"/>
        </w:rPr>
        <w:t xml:space="preserve"> in accord</w:t>
      </w:r>
      <w:r w:rsidR="00381679">
        <w:rPr>
          <w:rFonts w:ascii="Calibri" w:eastAsia="Calibri" w:hAnsi="Calibri" w:cs="Calibri"/>
          <w:color w:val="2A2A2A"/>
        </w:rPr>
        <w:t xml:space="preserve">ance with Annex B of the funding agreement. Placements at The Heights Burnley will be considered in the following ways: </w:t>
      </w:r>
    </w:p>
    <w:p w14:paraId="583D131C" w14:textId="5ECECB88" w:rsidR="006A72EB" w:rsidRPr="000E7724" w:rsidRDefault="00214FD7" w:rsidP="00A3007D">
      <w:pPr>
        <w:spacing w:before="22"/>
        <w:ind w:left="720" w:right="625"/>
        <w:jc w:val="both"/>
        <w:rPr>
          <w:rFonts w:ascii="Calibri" w:eastAsia="Calibri" w:hAnsi="Calibri" w:cs="Calibri"/>
          <w:b/>
          <w:bCs/>
          <w:color w:val="2A2A2A"/>
        </w:rPr>
      </w:pPr>
      <w:r w:rsidRPr="000E7724">
        <w:rPr>
          <w:rFonts w:ascii="Calibri" w:eastAsia="Calibri" w:hAnsi="Calibri" w:cs="Calibri"/>
          <w:b/>
          <w:bCs/>
          <w:color w:val="2A2A2A"/>
        </w:rPr>
        <w:t xml:space="preserve">Admission applications made by maintained schools, special schools and Academies for short stay/ part time access. </w:t>
      </w:r>
    </w:p>
    <w:p w14:paraId="152D348A" w14:textId="5B1D13FA" w:rsidR="00E87877" w:rsidRDefault="00E87877" w:rsidP="00A3007D">
      <w:pPr>
        <w:spacing w:before="22"/>
        <w:ind w:left="720" w:right="625"/>
        <w:jc w:val="both"/>
        <w:rPr>
          <w:rFonts w:ascii="Calibri" w:eastAsia="Calibri" w:hAnsi="Calibri" w:cs="Calibri"/>
          <w:color w:val="2A2A2A"/>
        </w:rPr>
      </w:pPr>
      <w:r>
        <w:rPr>
          <w:rFonts w:ascii="Calibri" w:eastAsia="Calibri" w:hAnsi="Calibri" w:cs="Calibri"/>
          <w:color w:val="2A2A2A"/>
        </w:rPr>
        <w:lastRenderedPageBreak/>
        <w:t xml:space="preserve">The student will be dual registered with their referring school being the home school. The length of these placements will depend on the pupil’s needs and will be subject to review. </w:t>
      </w:r>
    </w:p>
    <w:p w14:paraId="21BDC4DB" w14:textId="4629B012" w:rsidR="00E87877" w:rsidRPr="000E7724" w:rsidRDefault="00E87877" w:rsidP="00A3007D">
      <w:pPr>
        <w:spacing w:before="22"/>
        <w:ind w:right="625" w:firstLine="720"/>
        <w:jc w:val="both"/>
        <w:rPr>
          <w:rFonts w:ascii="Calibri" w:eastAsia="Calibri" w:hAnsi="Calibri" w:cs="Calibri"/>
          <w:b/>
          <w:bCs/>
          <w:color w:val="2A2A2A"/>
        </w:rPr>
      </w:pPr>
      <w:r w:rsidRPr="000E7724">
        <w:rPr>
          <w:rFonts w:ascii="Calibri" w:eastAsia="Calibri" w:hAnsi="Calibri" w:cs="Calibri"/>
          <w:b/>
          <w:bCs/>
          <w:color w:val="2A2A2A"/>
        </w:rPr>
        <w:t xml:space="preserve">Admission </w:t>
      </w:r>
      <w:r w:rsidR="002C342D" w:rsidRPr="000E7724">
        <w:rPr>
          <w:rFonts w:ascii="Calibri" w:eastAsia="Calibri" w:hAnsi="Calibri" w:cs="Calibri"/>
          <w:b/>
          <w:bCs/>
          <w:color w:val="2A2A2A"/>
        </w:rPr>
        <w:t>applications made by the Local Authority</w:t>
      </w:r>
      <w:r w:rsidR="00F132FD">
        <w:rPr>
          <w:rFonts w:ascii="Calibri" w:eastAsia="Calibri" w:hAnsi="Calibri" w:cs="Calibri"/>
          <w:b/>
          <w:bCs/>
          <w:color w:val="2A2A2A"/>
        </w:rPr>
        <w:t xml:space="preserve">. </w:t>
      </w:r>
      <w:r w:rsidR="002C342D" w:rsidRPr="000E7724">
        <w:rPr>
          <w:rFonts w:ascii="Calibri" w:eastAsia="Calibri" w:hAnsi="Calibri" w:cs="Calibri"/>
          <w:b/>
          <w:bCs/>
          <w:color w:val="2A2A2A"/>
        </w:rPr>
        <w:t xml:space="preserve"> </w:t>
      </w:r>
    </w:p>
    <w:p w14:paraId="631F9985" w14:textId="675D903F" w:rsidR="002C342D" w:rsidRDefault="002C342D" w:rsidP="00A3007D">
      <w:pPr>
        <w:spacing w:before="22"/>
        <w:ind w:left="720" w:right="625"/>
        <w:jc w:val="both"/>
        <w:rPr>
          <w:rFonts w:ascii="Calibri" w:eastAsia="Calibri" w:hAnsi="Calibri" w:cs="Calibri"/>
          <w:color w:val="2A2A2A"/>
        </w:rPr>
      </w:pPr>
      <w:r>
        <w:rPr>
          <w:rFonts w:ascii="Calibri" w:eastAsia="Calibri" w:hAnsi="Calibri" w:cs="Calibri"/>
          <w:color w:val="2A2A2A"/>
        </w:rPr>
        <w:t xml:space="preserve">The Student will be dual registered with an identified home school. The length of these placements will depend on the pupils needs and will be subject to review. </w:t>
      </w:r>
    </w:p>
    <w:p w14:paraId="79EB76AC" w14:textId="0AB5EB74" w:rsidR="002C342D" w:rsidRDefault="002C342D" w:rsidP="00A3007D">
      <w:pPr>
        <w:spacing w:before="22"/>
        <w:ind w:left="720" w:right="625"/>
        <w:jc w:val="both"/>
        <w:rPr>
          <w:rFonts w:ascii="Calibri" w:eastAsia="Calibri" w:hAnsi="Calibri" w:cs="Calibri"/>
          <w:color w:val="2A2A2A"/>
        </w:rPr>
      </w:pPr>
      <w:r>
        <w:rPr>
          <w:rFonts w:ascii="Calibri" w:eastAsia="Calibri" w:hAnsi="Calibri" w:cs="Calibri"/>
          <w:color w:val="2A2A2A"/>
        </w:rPr>
        <w:t>There may be instances</w:t>
      </w:r>
      <w:r w:rsidR="000A7B54">
        <w:rPr>
          <w:rFonts w:ascii="Calibri" w:eastAsia="Calibri" w:hAnsi="Calibri" w:cs="Calibri"/>
          <w:color w:val="2A2A2A"/>
        </w:rPr>
        <w:t xml:space="preserve"> where students will be single registered at The Heights Burnley. This placement will </w:t>
      </w:r>
      <w:r w:rsidR="006C0FCB">
        <w:rPr>
          <w:rFonts w:ascii="Calibri" w:eastAsia="Calibri" w:hAnsi="Calibri" w:cs="Calibri"/>
          <w:color w:val="2A2A2A"/>
        </w:rPr>
        <w:t xml:space="preserve">normally </w:t>
      </w:r>
      <w:r w:rsidR="0048458E">
        <w:rPr>
          <w:rFonts w:ascii="Calibri" w:eastAsia="Calibri" w:hAnsi="Calibri" w:cs="Calibri"/>
          <w:color w:val="2A2A2A"/>
        </w:rPr>
        <w:t xml:space="preserve">be for pupils that do not have a school place or if it is agreed that it is in the best interests of a pupils to complete their education at The Heights Burnley. </w:t>
      </w:r>
    </w:p>
    <w:p w14:paraId="7AD7A84C" w14:textId="6DC14581" w:rsidR="0048458E" w:rsidRDefault="0048458E" w:rsidP="00A3007D">
      <w:pPr>
        <w:spacing w:before="22"/>
        <w:ind w:left="720" w:right="625"/>
        <w:jc w:val="both"/>
        <w:rPr>
          <w:rFonts w:ascii="Calibri" w:eastAsia="Calibri" w:hAnsi="Calibri" w:cs="Calibri"/>
          <w:color w:val="2A2A2A"/>
        </w:rPr>
      </w:pPr>
      <w:r>
        <w:rPr>
          <w:rFonts w:ascii="Calibri" w:eastAsia="Calibri" w:hAnsi="Calibri" w:cs="Calibri"/>
          <w:color w:val="2A2A2A"/>
        </w:rPr>
        <w:t xml:space="preserve">N.B. With all the above, parental agreement/preference will be addressed. The Heights Burnley recognises parental right to express an alternative preference at another school or Academy. </w:t>
      </w:r>
    </w:p>
    <w:p w14:paraId="35939869" w14:textId="77777777" w:rsidR="0048458E" w:rsidRDefault="0048458E" w:rsidP="00703BC9">
      <w:pPr>
        <w:pStyle w:val="Heading2"/>
        <w:ind w:left="9"/>
        <w:jc w:val="both"/>
        <w:rPr>
          <w:rFonts w:asciiTheme="minorHAnsi" w:hAnsiTheme="minorHAnsi" w:cstheme="minorHAnsi"/>
          <w:b/>
          <w:bCs/>
          <w:color w:val="7030A0"/>
          <w:sz w:val="22"/>
          <w:szCs w:val="22"/>
        </w:rPr>
      </w:pPr>
    </w:p>
    <w:p w14:paraId="28FF8C87" w14:textId="55B90221" w:rsidR="004C4313" w:rsidRDefault="00307E27" w:rsidP="00703BC9">
      <w:pPr>
        <w:pStyle w:val="Heading2"/>
        <w:ind w:left="9"/>
        <w:jc w:val="both"/>
        <w:rPr>
          <w:rFonts w:asciiTheme="minorHAnsi" w:hAnsiTheme="minorHAnsi" w:cstheme="minorHAnsi"/>
          <w:b/>
          <w:bCs/>
          <w:color w:val="7030A0"/>
          <w:sz w:val="22"/>
          <w:szCs w:val="22"/>
        </w:rPr>
      </w:pPr>
      <w:bookmarkStart w:id="2" w:name="_Toc151733578"/>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A64677">
        <w:rPr>
          <w:rFonts w:asciiTheme="minorHAnsi" w:hAnsiTheme="minorHAnsi" w:cstheme="minorHAnsi"/>
          <w:b/>
          <w:bCs/>
          <w:color w:val="7030A0"/>
          <w:sz w:val="22"/>
          <w:szCs w:val="22"/>
        </w:rPr>
        <w:t>APPLICATION PROCESS</w:t>
      </w:r>
      <w:bookmarkEnd w:id="2"/>
      <w:r w:rsidR="00A64677">
        <w:rPr>
          <w:rFonts w:asciiTheme="minorHAnsi" w:hAnsiTheme="minorHAnsi" w:cstheme="minorHAnsi"/>
          <w:b/>
          <w:bCs/>
          <w:color w:val="7030A0"/>
          <w:sz w:val="22"/>
          <w:szCs w:val="22"/>
        </w:rPr>
        <w:t xml:space="preserve"> </w:t>
      </w:r>
    </w:p>
    <w:p w14:paraId="21D8B937" w14:textId="429FF074" w:rsidR="0048458E" w:rsidRPr="00753A06" w:rsidRDefault="0048458E" w:rsidP="00A3007D">
      <w:pPr>
        <w:ind w:left="720"/>
        <w:rPr>
          <w:rFonts w:asciiTheme="minorHAnsi" w:hAnsiTheme="minorHAnsi" w:cstheme="minorHAnsi"/>
        </w:rPr>
      </w:pPr>
      <w:r w:rsidRPr="00753A06">
        <w:rPr>
          <w:rFonts w:asciiTheme="minorHAnsi" w:hAnsiTheme="minorHAnsi" w:cstheme="minorHAnsi"/>
        </w:rPr>
        <w:t xml:space="preserve">Applications for places must be made by the referring school and on The Heights Burnley official application form which is available on the website. Completed application forms should be sent back to The Heights Burnley </w:t>
      </w:r>
      <w:r w:rsidR="00753A06" w:rsidRPr="00753A06">
        <w:rPr>
          <w:rFonts w:asciiTheme="minorHAnsi" w:hAnsiTheme="minorHAnsi" w:cstheme="minorHAnsi"/>
        </w:rPr>
        <w:t xml:space="preserve">via email at </w:t>
      </w:r>
      <w:hyperlink r:id="rId17" w:history="1">
        <w:r w:rsidR="00753A06" w:rsidRPr="00753A06">
          <w:rPr>
            <w:rStyle w:val="Hyperlink"/>
            <w:rFonts w:asciiTheme="minorHAnsi" w:hAnsiTheme="minorHAnsi" w:cstheme="minorHAnsi"/>
          </w:rPr>
          <w:t>enquiries@theheightsburnley.org</w:t>
        </w:r>
      </w:hyperlink>
      <w:r w:rsidR="00753A06" w:rsidRPr="00753A06">
        <w:rPr>
          <w:rFonts w:asciiTheme="minorHAnsi" w:hAnsiTheme="minorHAnsi" w:cstheme="minorHAnsi"/>
        </w:rPr>
        <w:t xml:space="preserve"> </w:t>
      </w:r>
    </w:p>
    <w:p w14:paraId="5E98861E" w14:textId="77777777" w:rsidR="001939C9" w:rsidRDefault="001939C9" w:rsidP="00A3007D">
      <w:pPr>
        <w:spacing w:before="12"/>
        <w:ind w:firstLine="720"/>
        <w:rPr>
          <w:rFonts w:ascii="Calibri" w:eastAsia="Calibri" w:hAnsi="Calibri" w:cs="Calibri"/>
        </w:rPr>
      </w:pPr>
      <w:r>
        <w:rPr>
          <w:rFonts w:ascii="Calibri" w:eastAsia="Calibri" w:hAnsi="Calibri" w:cs="Calibri"/>
        </w:rPr>
        <w:t>If required, the following agencies may be invited to contribute about specific cases:</w:t>
      </w:r>
    </w:p>
    <w:p w14:paraId="1C5E235D" w14:textId="5A7A00A2" w:rsidR="001939C9" w:rsidRPr="001939C9" w:rsidRDefault="001939C9" w:rsidP="001939C9">
      <w:pPr>
        <w:pStyle w:val="ListParagraph"/>
        <w:numPr>
          <w:ilvl w:val="0"/>
          <w:numId w:val="21"/>
        </w:numPr>
        <w:spacing w:before="31"/>
        <w:rPr>
          <w:rFonts w:ascii="Calibri" w:eastAsia="Calibri" w:hAnsi="Calibri" w:cs="Calibri"/>
        </w:rPr>
      </w:pPr>
      <w:r w:rsidRPr="001939C9">
        <w:rPr>
          <w:rFonts w:ascii="Calibri" w:eastAsia="Calibri" w:hAnsi="Calibri" w:cs="Calibri"/>
        </w:rPr>
        <w:t>Representative from Education Welfare Service</w:t>
      </w:r>
    </w:p>
    <w:p w14:paraId="627F60EE" w14:textId="1577311A" w:rsidR="001939C9" w:rsidRPr="001939C9" w:rsidRDefault="001939C9" w:rsidP="001939C9">
      <w:pPr>
        <w:pStyle w:val="ListParagraph"/>
        <w:numPr>
          <w:ilvl w:val="0"/>
          <w:numId w:val="21"/>
        </w:numPr>
        <w:spacing w:before="17"/>
        <w:rPr>
          <w:rFonts w:ascii="Calibri" w:eastAsia="Calibri" w:hAnsi="Calibri" w:cs="Calibri"/>
        </w:rPr>
      </w:pPr>
      <w:r w:rsidRPr="001939C9">
        <w:rPr>
          <w:rFonts w:ascii="Calibri" w:eastAsia="Calibri" w:hAnsi="Calibri" w:cs="Calibri"/>
        </w:rPr>
        <w:t>Representative from Looked After Children Service</w:t>
      </w:r>
    </w:p>
    <w:p w14:paraId="4BB66280" w14:textId="18A37BA7" w:rsidR="001939C9" w:rsidRPr="001939C9" w:rsidRDefault="001939C9" w:rsidP="001939C9">
      <w:pPr>
        <w:pStyle w:val="ListParagraph"/>
        <w:numPr>
          <w:ilvl w:val="0"/>
          <w:numId w:val="21"/>
        </w:numPr>
        <w:spacing w:before="20"/>
        <w:rPr>
          <w:rFonts w:ascii="Calibri" w:eastAsia="Calibri" w:hAnsi="Calibri" w:cs="Calibri"/>
        </w:rPr>
      </w:pPr>
      <w:r w:rsidRPr="001939C9">
        <w:rPr>
          <w:rFonts w:ascii="Calibri" w:eastAsia="Calibri" w:hAnsi="Calibri" w:cs="Calibri"/>
        </w:rPr>
        <w:t>Representative from Youth Offending Team</w:t>
      </w:r>
    </w:p>
    <w:p w14:paraId="2EEDB2C0" w14:textId="52CB7AE7" w:rsidR="001939C9" w:rsidRDefault="001939C9" w:rsidP="001939C9">
      <w:pPr>
        <w:pStyle w:val="ListParagraph"/>
        <w:numPr>
          <w:ilvl w:val="0"/>
          <w:numId w:val="21"/>
        </w:numPr>
        <w:spacing w:before="19"/>
        <w:rPr>
          <w:rFonts w:ascii="Calibri" w:eastAsia="Calibri" w:hAnsi="Calibri" w:cs="Calibri"/>
        </w:rPr>
      </w:pPr>
      <w:r w:rsidRPr="001939C9">
        <w:rPr>
          <w:rFonts w:ascii="Calibri" w:eastAsia="Calibri" w:hAnsi="Calibri" w:cs="Calibri"/>
        </w:rPr>
        <w:t>Representative from Educational Psychology</w:t>
      </w:r>
    </w:p>
    <w:p w14:paraId="0EE66910" w14:textId="60591097" w:rsidR="001939C9" w:rsidRPr="001939C9" w:rsidRDefault="001939C9" w:rsidP="00A3007D">
      <w:pPr>
        <w:spacing w:before="19"/>
        <w:ind w:firstLine="709"/>
        <w:rPr>
          <w:rFonts w:ascii="Calibri" w:eastAsia="Calibri" w:hAnsi="Calibri" w:cs="Calibri"/>
        </w:rPr>
      </w:pPr>
      <w:r>
        <w:rPr>
          <w:rFonts w:ascii="Calibri" w:eastAsia="Calibri" w:hAnsi="Calibri" w:cs="Calibri"/>
        </w:rPr>
        <w:t xml:space="preserve">Admission forms are available at </w:t>
      </w:r>
      <w:hyperlink r:id="rId18" w:history="1">
        <w:r w:rsidRPr="00FA5443">
          <w:rPr>
            <w:rStyle w:val="Hyperlink"/>
            <w:rFonts w:ascii="Calibri" w:eastAsia="Calibri" w:hAnsi="Calibri" w:cs="Calibri"/>
          </w:rPr>
          <w:t>www.theheightsburnley.com</w:t>
        </w:r>
      </w:hyperlink>
      <w:r>
        <w:rPr>
          <w:rFonts w:ascii="Calibri" w:eastAsia="Calibri" w:hAnsi="Calibri" w:cs="Calibri"/>
        </w:rPr>
        <w:t xml:space="preserve"> </w:t>
      </w:r>
    </w:p>
    <w:p w14:paraId="4F7EBD8A" w14:textId="5A13D670" w:rsidR="00307E27" w:rsidRPr="00307E27" w:rsidRDefault="00307E27" w:rsidP="00753A06">
      <w:pPr>
        <w:spacing w:after="0"/>
        <w:jc w:val="both"/>
        <w:rPr>
          <w:rFonts w:asciiTheme="minorHAnsi" w:hAnsiTheme="minorHAnsi" w:cstheme="minorHAnsi"/>
        </w:rPr>
      </w:pPr>
    </w:p>
    <w:p w14:paraId="4BF23619" w14:textId="5BD41FF8" w:rsidR="00307E27" w:rsidRDefault="00905162" w:rsidP="001939C9">
      <w:pPr>
        <w:pStyle w:val="Heading2"/>
        <w:numPr>
          <w:ilvl w:val="0"/>
          <w:numId w:val="6"/>
        </w:numPr>
        <w:ind w:left="709" w:hanging="700"/>
        <w:jc w:val="both"/>
        <w:rPr>
          <w:rFonts w:asciiTheme="minorHAnsi" w:hAnsiTheme="minorHAnsi" w:cstheme="minorHAnsi"/>
          <w:b/>
          <w:bCs/>
          <w:color w:val="7030A0"/>
          <w:sz w:val="22"/>
          <w:szCs w:val="22"/>
        </w:rPr>
      </w:pPr>
      <w:bookmarkStart w:id="3" w:name="_Toc151733579"/>
      <w:r>
        <w:rPr>
          <w:rFonts w:asciiTheme="minorHAnsi" w:hAnsiTheme="minorHAnsi" w:cstheme="minorHAnsi"/>
          <w:b/>
          <w:bCs/>
          <w:color w:val="7030A0"/>
          <w:sz w:val="22"/>
          <w:szCs w:val="22"/>
        </w:rPr>
        <w:t>ADMISSIONS CRITERIA</w:t>
      </w:r>
      <w:bookmarkEnd w:id="3"/>
      <w:r>
        <w:rPr>
          <w:rFonts w:asciiTheme="minorHAnsi" w:hAnsiTheme="minorHAnsi" w:cstheme="minorHAnsi"/>
          <w:b/>
          <w:bCs/>
          <w:color w:val="7030A0"/>
          <w:sz w:val="22"/>
          <w:szCs w:val="22"/>
        </w:rPr>
        <w:t xml:space="preserve"> </w:t>
      </w:r>
      <w:bookmarkStart w:id="4" w:name="_The_Governors/_Management"/>
      <w:bookmarkEnd w:id="4"/>
    </w:p>
    <w:p w14:paraId="42EBBA91" w14:textId="63256C04" w:rsidR="001939C9" w:rsidRPr="00466AC7" w:rsidRDefault="00631B86" w:rsidP="00A3007D">
      <w:pPr>
        <w:ind w:left="709"/>
        <w:rPr>
          <w:rFonts w:asciiTheme="minorHAnsi" w:hAnsiTheme="minorHAnsi" w:cstheme="minorHAnsi"/>
        </w:rPr>
      </w:pPr>
      <w:r w:rsidRPr="00466AC7">
        <w:rPr>
          <w:rFonts w:asciiTheme="minorHAnsi" w:hAnsiTheme="minorHAnsi" w:cstheme="minorHAnsi"/>
        </w:rPr>
        <w:t xml:space="preserve">In the event that the school receives more applications than the number of places it has available, places will be given to those children who meet any of the criteria set out below, in order </w:t>
      </w:r>
      <w:r w:rsidR="004745E5" w:rsidRPr="00466AC7">
        <w:rPr>
          <w:rFonts w:asciiTheme="minorHAnsi" w:hAnsiTheme="minorHAnsi" w:cstheme="minorHAnsi"/>
        </w:rPr>
        <w:t xml:space="preserve">until all places are filled: </w:t>
      </w:r>
    </w:p>
    <w:p w14:paraId="7D276B06" w14:textId="5B6887DF" w:rsidR="004745E5" w:rsidRPr="00466AC7" w:rsidRDefault="004745E5" w:rsidP="00A3007D">
      <w:pPr>
        <w:ind w:firstLine="709"/>
        <w:rPr>
          <w:rFonts w:asciiTheme="minorHAnsi" w:hAnsiTheme="minorHAnsi" w:cstheme="minorHAnsi"/>
        </w:rPr>
      </w:pPr>
      <w:r w:rsidRPr="00466AC7">
        <w:rPr>
          <w:rFonts w:asciiTheme="minorHAnsi" w:hAnsiTheme="minorHAnsi" w:cstheme="minorHAnsi"/>
        </w:rPr>
        <w:t>Young people with a statement of SEN (EHCP)</w:t>
      </w:r>
    </w:p>
    <w:p w14:paraId="058310D5" w14:textId="453A2275" w:rsidR="004745E5" w:rsidRPr="00466AC7" w:rsidRDefault="004745E5" w:rsidP="00A3007D">
      <w:pPr>
        <w:ind w:left="709"/>
        <w:rPr>
          <w:rFonts w:asciiTheme="minorHAnsi" w:hAnsiTheme="minorHAnsi" w:cstheme="minorHAnsi"/>
        </w:rPr>
      </w:pPr>
      <w:r w:rsidRPr="00466AC7">
        <w:rPr>
          <w:rFonts w:asciiTheme="minorHAnsi" w:hAnsiTheme="minorHAnsi" w:cstheme="minorHAnsi"/>
        </w:rPr>
        <w:t xml:space="preserve">Looked After Children including adopted children who were previously in care and children who leave care under a special guardianship or residence order. </w:t>
      </w:r>
    </w:p>
    <w:p w14:paraId="7184CAEB" w14:textId="489E89F9" w:rsidR="004745E5" w:rsidRDefault="004745E5" w:rsidP="00A3007D">
      <w:pPr>
        <w:ind w:left="709"/>
        <w:rPr>
          <w:rFonts w:asciiTheme="minorHAnsi" w:hAnsiTheme="minorHAnsi" w:cstheme="minorHAnsi"/>
        </w:rPr>
      </w:pPr>
      <w:r w:rsidRPr="00466AC7">
        <w:rPr>
          <w:rFonts w:asciiTheme="minorHAnsi" w:hAnsiTheme="minorHAnsi" w:cstheme="minorHAnsi"/>
        </w:rPr>
        <w:t xml:space="preserve">In the unlikely </w:t>
      </w:r>
      <w:r w:rsidR="00466AC7" w:rsidRPr="00466AC7">
        <w:rPr>
          <w:rFonts w:asciiTheme="minorHAnsi" w:hAnsiTheme="minorHAnsi" w:cstheme="minorHAnsi"/>
        </w:rPr>
        <w:t xml:space="preserve">instance a decision cannot be reached using these criteria, places will be offered to those whose needs would be best met by placement at The Heights Burnley. </w:t>
      </w:r>
    </w:p>
    <w:p w14:paraId="3B72DFEF" w14:textId="77777777" w:rsidR="00180866" w:rsidRPr="00466AC7" w:rsidRDefault="00180866" w:rsidP="001939C9">
      <w:pPr>
        <w:rPr>
          <w:rFonts w:asciiTheme="minorHAnsi" w:hAnsiTheme="minorHAnsi" w:cstheme="minorHAnsi"/>
        </w:rPr>
      </w:pPr>
    </w:p>
    <w:p w14:paraId="0DF3B3F2" w14:textId="40562DD2" w:rsidR="00307E27" w:rsidRDefault="00307E27" w:rsidP="00703BC9">
      <w:pPr>
        <w:pStyle w:val="Heading2"/>
        <w:rPr>
          <w:rFonts w:asciiTheme="minorHAnsi" w:hAnsiTheme="minorHAnsi" w:cstheme="minorHAnsi"/>
          <w:b/>
          <w:bCs/>
          <w:color w:val="7030A0"/>
          <w:sz w:val="22"/>
          <w:szCs w:val="22"/>
        </w:rPr>
      </w:pPr>
      <w:bookmarkStart w:id="5" w:name="_Toc151733580"/>
      <w:r w:rsidRPr="00307E27">
        <w:rPr>
          <w:rFonts w:asciiTheme="minorHAnsi" w:hAnsiTheme="minorHAnsi" w:cstheme="minorHAnsi"/>
          <w:b/>
          <w:bCs/>
          <w:color w:val="7030A0"/>
          <w:sz w:val="22"/>
          <w:szCs w:val="22"/>
        </w:rPr>
        <w:lastRenderedPageBreak/>
        <w:t>5.0</w:t>
      </w:r>
      <w:r w:rsidRPr="00307E27">
        <w:rPr>
          <w:rFonts w:asciiTheme="minorHAnsi" w:hAnsiTheme="minorHAnsi" w:cstheme="minorHAnsi"/>
          <w:b/>
          <w:bCs/>
          <w:color w:val="7030A0"/>
          <w:sz w:val="22"/>
          <w:szCs w:val="22"/>
        </w:rPr>
        <w:tab/>
      </w:r>
      <w:r w:rsidR="00F52FFE">
        <w:rPr>
          <w:rFonts w:asciiTheme="minorHAnsi" w:hAnsiTheme="minorHAnsi" w:cstheme="minorHAnsi"/>
          <w:b/>
          <w:bCs/>
          <w:color w:val="7030A0"/>
          <w:sz w:val="22"/>
          <w:szCs w:val="22"/>
        </w:rPr>
        <w:t xml:space="preserve">APPEALS </w:t>
      </w:r>
      <w:r w:rsidR="00AA229A">
        <w:rPr>
          <w:rFonts w:asciiTheme="minorHAnsi" w:hAnsiTheme="minorHAnsi" w:cstheme="minorHAnsi"/>
          <w:b/>
          <w:bCs/>
          <w:color w:val="7030A0"/>
          <w:sz w:val="22"/>
          <w:szCs w:val="22"/>
        </w:rPr>
        <w:t>AGAINST ANY REFUSAL TO ACCEPT A REFERRAL</w:t>
      </w:r>
      <w:bookmarkEnd w:id="5"/>
      <w:r w:rsidR="00AA229A">
        <w:rPr>
          <w:rFonts w:asciiTheme="minorHAnsi" w:hAnsiTheme="minorHAnsi" w:cstheme="minorHAnsi"/>
          <w:b/>
          <w:bCs/>
          <w:color w:val="7030A0"/>
          <w:sz w:val="22"/>
          <w:szCs w:val="22"/>
        </w:rPr>
        <w:t xml:space="preserve"> </w:t>
      </w:r>
    </w:p>
    <w:p w14:paraId="766DF9A0" w14:textId="77777777" w:rsidR="00D97B53" w:rsidRDefault="00D97B53" w:rsidP="00D97B53">
      <w:pPr>
        <w:spacing w:after="34"/>
        <w:ind w:left="709"/>
        <w:jc w:val="both"/>
        <w:rPr>
          <w:rFonts w:asciiTheme="minorHAnsi" w:hAnsiTheme="minorHAnsi" w:cstheme="minorHAnsi"/>
        </w:rPr>
      </w:pPr>
      <w:r w:rsidRPr="00D97B53">
        <w:rPr>
          <w:rFonts w:asciiTheme="minorHAnsi" w:hAnsiTheme="minorHAnsi" w:cstheme="minorHAnsi"/>
        </w:rPr>
        <w:t xml:space="preserve">Wherever a referral is refused, the commissioner can submit an appeal to the Education Partnership Trust at </w:t>
      </w:r>
      <w:hyperlink r:id="rId19" w:history="1">
        <w:r w:rsidRPr="006F7872">
          <w:rPr>
            <w:rStyle w:val="Hyperlink"/>
            <w:rFonts w:asciiTheme="minorHAnsi" w:hAnsiTheme="minorHAnsi" w:cstheme="minorHAnsi"/>
          </w:rPr>
          <w:t>governance@ept-uk.com</w:t>
        </w:r>
      </w:hyperlink>
      <w:r>
        <w:rPr>
          <w:rFonts w:asciiTheme="minorHAnsi" w:hAnsiTheme="minorHAnsi" w:cstheme="minorHAnsi"/>
        </w:rPr>
        <w:t xml:space="preserve"> </w:t>
      </w:r>
      <w:r w:rsidRPr="00D97B53">
        <w:rPr>
          <w:rFonts w:asciiTheme="minorHAnsi" w:hAnsiTheme="minorHAnsi" w:cstheme="minorHAnsi"/>
        </w:rPr>
        <w:t xml:space="preserve">outlining reasons for the referral along with supporting documentation. </w:t>
      </w:r>
    </w:p>
    <w:p w14:paraId="6B801599" w14:textId="6F2EEE04" w:rsidR="00D97B53" w:rsidRPr="00D97B53" w:rsidRDefault="00D97B53" w:rsidP="00D97B53">
      <w:pPr>
        <w:spacing w:after="34"/>
        <w:ind w:left="709"/>
        <w:jc w:val="both"/>
        <w:rPr>
          <w:rFonts w:asciiTheme="minorHAnsi" w:hAnsiTheme="minorHAnsi" w:cstheme="minorHAnsi"/>
        </w:rPr>
      </w:pPr>
      <w:r w:rsidRPr="00D97B53">
        <w:rPr>
          <w:rFonts w:asciiTheme="minorHAnsi" w:hAnsiTheme="minorHAnsi" w:cstheme="minorHAnsi"/>
        </w:rPr>
        <w:t>Any appeals will be heard within 15 school days and final outcomes notified within 5 school days.</w:t>
      </w:r>
    </w:p>
    <w:p w14:paraId="08FC4A86" w14:textId="4CF51AB5" w:rsidR="00A56233" w:rsidRPr="00307E27" w:rsidRDefault="00307E27" w:rsidP="00180866">
      <w:pPr>
        <w:spacing w:before="22" w:line="258" w:lineRule="auto"/>
        <w:ind w:right="624"/>
        <w:jc w:val="both"/>
      </w:pPr>
      <w:r w:rsidRPr="00307E27">
        <w:t xml:space="preserve"> </w:t>
      </w:r>
      <w:r w:rsidR="0067367A">
        <w:tab/>
      </w:r>
    </w:p>
    <w:p w14:paraId="56FC585E" w14:textId="1E3826B6" w:rsidR="00307E27" w:rsidRDefault="006303ED" w:rsidP="00703BC9">
      <w:pPr>
        <w:pStyle w:val="Heading2"/>
        <w:rPr>
          <w:rFonts w:asciiTheme="minorHAnsi" w:hAnsiTheme="minorHAnsi" w:cstheme="minorHAnsi"/>
          <w:b/>
          <w:bCs/>
          <w:color w:val="7030A0"/>
          <w:sz w:val="22"/>
          <w:szCs w:val="22"/>
        </w:rPr>
      </w:pPr>
      <w:bookmarkStart w:id="6" w:name="_Toc151733581"/>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52FFE">
        <w:rPr>
          <w:rFonts w:asciiTheme="minorHAnsi" w:hAnsiTheme="minorHAnsi" w:cstheme="minorHAnsi"/>
          <w:b/>
          <w:bCs/>
          <w:color w:val="7030A0"/>
          <w:sz w:val="22"/>
          <w:szCs w:val="22"/>
        </w:rPr>
        <w:t xml:space="preserve">REINTEGRATION AND NEXT PHASE </w:t>
      </w:r>
      <w:r w:rsidR="00EE6F96">
        <w:rPr>
          <w:rFonts w:asciiTheme="minorHAnsi" w:hAnsiTheme="minorHAnsi" w:cstheme="minorHAnsi"/>
          <w:b/>
          <w:bCs/>
          <w:color w:val="7030A0"/>
          <w:sz w:val="22"/>
          <w:szCs w:val="22"/>
        </w:rPr>
        <w:t>PROVISION</w:t>
      </w:r>
      <w:bookmarkEnd w:id="6"/>
      <w:r w:rsidR="00EE6F96">
        <w:rPr>
          <w:rFonts w:asciiTheme="minorHAnsi" w:hAnsiTheme="minorHAnsi" w:cstheme="minorHAnsi"/>
          <w:b/>
          <w:bCs/>
          <w:color w:val="7030A0"/>
          <w:sz w:val="22"/>
          <w:szCs w:val="22"/>
        </w:rPr>
        <w:t xml:space="preserve"> </w:t>
      </w:r>
    </w:p>
    <w:p w14:paraId="662120DB" w14:textId="77777777" w:rsidR="00491F7D" w:rsidRDefault="00491F7D" w:rsidP="00A3007D">
      <w:pPr>
        <w:spacing w:before="19" w:line="258" w:lineRule="auto"/>
        <w:ind w:left="720" w:right="626"/>
        <w:jc w:val="both"/>
        <w:rPr>
          <w:rFonts w:ascii="Calibri" w:eastAsia="Calibri" w:hAnsi="Calibri" w:cs="Calibri"/>
        </w:rPr>
      </w:pPr>
      <w:r>
        <w:rPr>
          <w:rFonts w:ascii="Calibri" w:eastAsia="Calibri" w:hAnsi="Calibri" w:cs="Calibri"/>
        </w:rPr>
        <w:t>In Key Stage 1 and 2, the emphasis is very much on a supported and successful reintegration or next phase provision. Pupils will attend a planned programme for 6 weeks initially which will be reviewed with the possibility of extension depending on individual needs. Phased reintegration will then be supported by KS1 &amp; 2 staff.</w:t>
      </w:r>
    </w:p>
    <w:p w14:paraId="72A88051" w14:textId="77777777" w:rsidR="00950F61" w:rsidRDefault="00950F61" w:rsidP="00A3007D">
      <w:pPr>
        <w:spacing w:line="258" w:lineRule="auto"/>
        <w:ind w:left="720" w:right="623"/>
        <w:jc w:val="both"/>
        <w:rPr>
          <w:rFonts w:ascii="Calibri" w:eastAsia="Calibri" w:hAnsi="Calibri" w:cs="Calibri"/>
        </w:rPr>
      </w:pPr>
      <w:r>
        <w:rPr>
          <w:rFonts w:ascii="Calibri" w:eastAsia="Calibri" w:hAnsi="Calibri" w:cs="Calibri"/>
        </w:rPr>
        <w:t xml:space="preserve">In Key Stage 3, pupils will be referred for an initial 6-week full-time block with the possibility of extension depending on individual need. Phased reintegration will then be supported by KS3 staff. </w:t>
      </w:r>
    </w:p>
    <w:p w14:paraId="7161E43A" w14:textId="77777777" w:rsidR="00DC5809" w:rsidRDefault="00DC5809" w:rsidP="00A3007D">
      <w:pPr>
        <w:ind w:left="720" w:right="627"/>
        <w:jc w:val="both"/>
        <w:rPr>
          <w:rFonts w:ascii="Calibri" w:eastAsia="Calibri" w:hAnsi="Calibri" w:cs="Calibri"/>
        </w:rPr>
      </w:pPr>
      <w:r>
        <w:rPr>
          <w:rFonts w:ascii="Calibri" w:eastAsia="Calibri" w:hAnsi="Calibri" w:cs="Calibri"/>
        </w:rPr>
        <w:t>At Key Stage 4, the focus is on providing the opportunity for students to gain qualifications on par with mainstream schools and with the skills needed to ensure a successful transition to college, training or employment. The placement will be reviewed termly in partnership with their home school.</w:t>
      </w:r>
    </w:p>
    <w:p w14:paraId="1FD60A9D" w14:textId="77777777" w:rsidR="00DC5809" w:rsidRDefault="00DC5809" w:rsidP="00950F61">
      <w:pPr>
        <w:spacing w:line="258" w:lineRule="auto"/>
        <w:ind w:right="623"/>
        <w:jc w:val="both"/>
        <w:rPr>
          <w:rFonts w:ascii="Calibri" w:eastAsia="Calibri" w:hAnsi="Calibri" w:cs="Calibri"/>
        </w:rPr>
      </w:pPr>
    </w:p>
    <w:p w14:paraId="683FCD01" w14:textId="77777777" w:rsidR="00950F61" w:rsidRDefault="00950F61" w:rsidP="00491F7D">
      <w:pPr>
        <w:spacing w:before="19" w:line="258" w:lineRule="auto"/>
        <w:ind w:right="626"/>
        <w:jc w:val="both"/>
        <w:rPr>
          <w:rFonts w:ascii="Calibri" w:eastAsia="Calibri" w:hAnsi="Calibri" w:cs="Calibri"/>
        </w:rPr>
      </w:pP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3B032804" w14:textId="77777777" w:rsidR="00831242" w:rsidRDefault="00831242" w:rsidP="00AB38A8">
      <w:pPr>
        <w:pStyle w:val="Heading2"/>
        <w:rPr>
          <w:rFonts w:asciiTheme="minorHAnsi" w:hAnsiTheme="minorHAnsi" w:cstheme="minorHAnsi"/>
          <w:b/>
          <w:bCs/>
          <w:color w:val="7030A0"/>
          <w:sz w:val="22"/>
          <w:szCs w:val="22"/>
        </w:rPr>
      </w:pPr>
    </w:p>
    <w:p w14:paraId="0B3F2E6A" w14:textId="12CF5AEE" w:rsidR="005F0A06" w:rsidRPr="005F0A06" w:rsidRDefault="005F0A06" w:rsidP="0019121D">
      <w:pPr>
        <w:ind w:left="709"/>
      </w:pPr>
    </w:p>
    <w:sectPr w:rsidR="005F0A06" w:rsidRPr="005F0A06" w:rsidSect="000C4E51">
      <w:headerReference w:type="default" r:id="rId20"/>
      <w:footerReference w:type="even" r:id="rId21"/>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0680" w14:textId="77777777" w:rsidR="000C49D1" w:rsidRDefault="000C49D1" w:rsidP="005B2EA0">
      <w:pPr>
        <w:spacing w:after="0" w:line="240" w:lineRule="auto"/>
      </w:pPr>
      <w:r>
        <w:separator/>
      </w:r>
    </w:p>
  </w:endnote>
  <w:endnote w:type="continuationSeparator" w:id="0">
    <w:p w14:paraId="0400E93F" w14:textId="77777777" w:rsidR="000C49D1" w:rsidRDefault="000C49D1" w:rsidP="005B2EA0">
      <w:pPr>
        <w:spacing w:after="0" w:line="240" w:lineRule="auto"/>
      </w:pPr>
      <w:r>
        <w:continuationSeparator/>
      </w:r>
    </w:p>
  </w:endnote>
  <w:endnote w:type="continuationNotice" w:id="1">
    <w:p w14:paraId="61511C71" w14:textId="77777777" w:rsidR="000C49D1" w:rsidRDefault="000C4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p w14:paraId="6A19AE53" w14:textId="77777777" w:rsidR="00831E8A" w:rsidRDefault="00831E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p w14:paraId="6C7DD53E" w14:textId="77777777" w:rsidR="00831E8A" w:rsidRDefault="00831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0FCB" w14:textId="77777777" w:rsidR="000C49D1" w:rsidRDefault="000C49D1" w:rsidP="005B2EA0">
      <w:pPr>
        <w:spacing w:after="0" w:line="240" w:lineRule="auto"/>
      </w:pPr>
      <w:r>
        <w:separator/>
      </w:r>
    </w:p>
  </w:footnote>
  <w:footnote w:type="continuationSeparator" w:id="0">
    <w:p w14:paraId="4B4E8BBD" w14:textId="77777777" w:rsidR="000C49D1" w:rsidRDefault="000C49D1" w:rsidP="005B2EA0">
      <w:pPr>
        <w:spacing w:after="0" w:line="240" w:lineRule="auto"/>
      </w:pPr>
      <w:r>
        <w:continuationSeparator/>
      </w:r>
    </w:p>
  </w:footnote>
  <w:footnote w:type="continuationNotice" w:id="1">
    <w:p w14:paraId="6718287B" w14:textId="77777777" w:rsidR="000C49D1" w:rsidRDefault="000C4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p w14:paraId="1F4E3189" w14:textId="77777777" w:rsidR="00831E8A" w:rsidRDefault="00831E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_blue"/>
      </v:shape>
    </w:pict>
  </w:numPicBullet>
  <w:abstractNum w:abstractNumId="0" w15:restartNumberingAfterBreak="0">
    <w:nsid w:val="002114C1"/>
    <w:multiLevelType w:val="hybridMultilevel"/>
    <w:tmpl w:val="C1BA96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AE1CBC"/>
    <w:multiLevelType w:val="hybridMultilevel"/>
    <w:tmpl w:val="33B86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8"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9"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0"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C83F6A"/>
    <w:multiLevelType w:val="hybridMultilevel"/>
    <w:tmpl w:val="FDDA4F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33696"/>
    <w:multiLevelType w:val="hybridMultilevel"/>
    <w:tmpl w:val="D34A4E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90285119">
    <w:abstractNumId w:val="19"/>
  </w:num>
  <w:num w:numId="2" w16cid:durableId="1390032465">
    <w:abstractNumId w:val="3"/>
  </w:num>
  <w:num w:numId="3" w16cid:durableId="1974407073">
    <w:abstractNumId w:val="4"/>
  </w:num>
  <w:num w:numId="4" w16cid:durableId="1813255183">
    <w:abstractNumId w:val="5"/>
  </w:num>
  <w:num w:numId="5" w16cid:durableId="551500917">
    <w:abstractNumId w:val="20"/>
  </w:num>
  <w:num w:numId="6" w16cid:durableId="1378353958">
    <w:abstractNumId w:val="2"/>
  </w:num>
  <w:num w:numId="7" w16cid:durableId="1611352892">
    <w:abstractNumId w:val="9"/>
  </w:num>
  <w:num w:numId="8" w16cid:durableId="1890722789">
    <w:abstractNumId w:val="12"/>
  </w:num>
  <w:num w:numId="9" w16cid:durableId="818572561">
    <w:abstractNumId w:val="7"/>
  </w:num>
  <w:num w:numId="10" w16cid:durableId="365102883">
    <w:abstractNumId w:val="10"/>
  </w:num>
  <w:num w:numId="11" w16cid:durableId="845440351">
    <w:abstractNumId w:val="16"/>
  </w:num>
  <w:num w:numId="12" w16cid:durableId="878511296">
    <w:abstractNumId w:val="13"/>
  </w:num>
  <w:num w:numId="13" w16cid:durableId="1130590707">
    <w:abstractNumId w:val="17"/>
  </w:num>
  <w:num w:numId="14" w16cid:durableId="1107502634">
    <w:abstractNumId w:val="1"/>
  </w:num>
  <w:num w:numId="15" w16cid:durableId="77990354">
    <w:abstractNumId w:val="8"/>
  </w:num>
  <w:num w:numId="16" w16cid:durableId="975262072">
    <w:abstractNumId w:val="18"/>
  </w:num>
  <w:num w:numId="17" w16cid:durableId="1091392108">
    <w:abstractNumId w:val="11"/>
  </w:num>
  <w:num w:numId="18" w16cid:durableId="2114280595">
    <w:abstractNumId w:val="15"/>
  </w:num>
  <w:num w:numId="19" w16cid:durableId="130055009">
    <w:abstractNumId w:val="0"/>
  </w:num>
  <w:num w:numId="20" w16cid:durableId="1939563761">
    <w:abstractNumId w:val="14"/>
  </w:num>
  <w:num w:numId="21" w16cid:durableId="21354410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63228"/>
    <w:rsid w:val="00064490"/>
    <w:rsid w:val="00082705"/>
    <w:rsid w:val="0009268C"/>
    <w:rsid w:val="000943A5"/>
    <w:rsid w:val="000A7B54"/>
    <w:rsid w:val="000B4C29"/>
    <w:rsid w:val="000B647E"/>
    <w:rsid w:val="000C49D1"/>
    <w:rsid w:val="000C4E51"/>
    <w:rsid w:val="000D049D"/>
    <w:rsid w:val="000D16AA"/>
    <w:rsid w:val="000D1740"/>
    <w:rsid w:val="000E27CD"/>
    <w:rsid w:val="000E4E64"/>
    <w:rsid w:val="000E5F8A"/>
    <w:rsid w:val="000E702C"/>
    <w:rsid w:val="000E7724"/>
    <w:rsid w:val="000F4892"/>
    <w:rsid w:val="000F5E65"/>
    <w:rsid w:val="001060A2"/>
    <w:rsid w:val="00110849"/>
    <w:rsid w:val="00121EF8"/>
    <w:rsid w:val="001312EB"/>
    <w:rsid w:val="00131C63"/>
    <w:rsid w:val="001324C7"/>
    <w:rsid w:val="001331C4"/>
    <w:rsid w:val="00135593"/>
    <w:rsid w:val="001429EE"/>
    <w:rsid w:val="00143582"/>
    <w:rsid w:val="00161ABC"/>
    <w:rsid w:val="00171A77"/>
    <w:rsid w:val="00180866"/>
    <w:rsid w:val="0019121D"/>
    <w:rsid w:val="00191CB0"/>
    <w:rsid w:val="001939C9"/>
    <w:rsid w:val="001A7D20"/>
    <w:rsid w:val="001B57D9"/>
    <w:rsid w:val="001B5F67"/>
    <w:rsid w:val="001D4E46"/>
    <w:rsid w:val="001D5350"/>
    <w:rsid w:val="001F7729"/>
    <w:rsid w:val="00214538"/>
    <w:rsid w:val="00214B31"/>
    <w:rsid w:val="00214FD7"/>
    <w:rsid w:val="00215DFA"/>
    <w:rsid w:val="0022472A"/>
    <w:rsid w:val="002321AF"/>
    <w:rsid w:val="00233A89"/>
    <w:rsid w:val="00245BC8"/>
    <w:rsid w:val="00265096"/>
    <w:rsid w:val="0026707F"/>
    <w:rsid w:val="002735BA"/>
    <w:rsid w:val="00275501"/>
    <w:rsid w:val="0028340D"/>
    <w:rsid w:val="00296BDA"/>
    <w:rsid w:val="002A22EC"/>
    <w:rsid w:val="002A2F07"/>
    <w:rsid w:val="002A4AF3"/>
    <w:rsid w:val="002B6813"/>
    <w:rsid w:val="002C342D"/>
    <w:rsid w:val="002C3969"/>
    <w:rsid w:val="002E513C"/>
    <w:rsid w:val="002E67DA"/>
    <w:rsid w:val="002F10C2"/>
    <w:rsid w:val="002F2324"/>
    <w:rsid w:val="002F3443"/>
    <w:rsid w:val="00301FB7"/>
    <w:rsid w:val="00307E27"/>
    <w:rsid w:val="003356B6"/>
    <w:rsid w:val="0034636A"/>
    <w:rsid w:val="003526E2"/>
    <w:rsid w:val="003574D7"/>
    <w:rsid w:val="003644A0"/>
    <w:rsid w:val="00381679"/>
    <w:rsid w:val="00382AEF"/>
    <w:rsid w:val="003A2E78"/>
    <w:rsid w:val="003B124A"/>
    <w:rsid w:val="003C011A"/>
    <w:rsid w:val="003C2DDA"/>
    <w:rsid w:val="003D2325"/>
    <w:rsid w:val="003D4408"/>
    <w:rsid w:val="003D5B02"/>
    <w:rsid w:val="003F727C"/>
    <w:rsid w:val="004050CB"/>
    <w:rsid w:val="00406DBD"/>
    <w:rsid w:val="004105C1"/>
    <w:rsid w:val="0045335C"/>
    <w:rsid w:val="00453B7A"/>
    <w:rsid w:val="004627BA"/>
    <w:rsid w:val="0046377D"/>
    <w:rsid w:val="00463F33"/>
    <w:rsid w:val="00466AC7"/>
    <w:rsid w:val="004745E5"/>
    <w:rsid w:val="00474FD3"/>
    <w:rsid w:val="0048458E"/>
    <w:rsid w:val="00491F7D"/>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0D85"/>
    <w:rsid w:val="005625D9"/>
    <w:rsid w:val="005722FC"/>
    <w:rsid w:val="005752A8"/>
    <w:rsid w:val="00586CE9"/>
    <w:rsid w:val="0059794F"/>
    <w:rsid w:val="005A781F"/>
    <w:rsid w:val="005B2AC1"/>
    <w:rsid w:val="005B2EA0"/>
    <w:rsid w:val="005C1497"/>
    <w:rsid w:val="005C5278"/>
    <w:rsid w:val="005F0A06"/>
    <w:rsid w:val="00606D72"/>
    <w:rsid w:val="00616AC3"/>
    <w:rsid w:val="00622996"/>
    <w:rsid w:val="00627A4D"/>
    <w:rsid w:val="006303ED"/>
    <w:rsid w:val="00631B86"/>
    <w:rsid w:val="0063297D"/>
    <w:rsid w:val="0064169F"/>
    <w:rsid w:val="00641E71"/>
    <w:rsid w:val="006476AC"/>
    <w:rsid w:val="00663977"/>
    <w:rsid w:val="00672740"/>
    <w:rsid w:val="0067367A"/>
    <w:rsid w:val="00673885"/>
    <w:rsid w:val="00692A04"/>
    <w:rsid w:val="00692E2F"/>
    <w:rsid w:val="006A6037"/>
    <w:rsid w:val="006A72EB"/>
    <w:rsid w:val="006A7E4D"/>
    <w:rsid w:val="006B2898"/>
    <w:rsid w:val="006C0FCB"/>
    <w:rsid w:val="006D00E6"/>
    <w:rsid w:val="006D7705"/>
    <w:rsid w:val="006E5EB6"/>
    <w:rsid w:val="00700E7F"/>
    <w:rsid w:val="00703BC9"/>
    <w:rsid w:val="00721ACA"/>
    <w:rsid w:val="00722411"/>
    <w:rsid w:val="0073370B"/>
    <w:rsid w:val="00737C90"/>
    <w:rsid w:val="007524D7"/>
    <w:rsid w:val="00753A06"/>
    <w:rsid w:val="007619E7"/>
    <w:rsid w:val="007677B2"/>
    <w:rsid w:val="00771039"/>
    <w:rsid w:val="00772FCC"/>
    <w:rsid w:val="00796237"/>
    <w:rsid w:val="007A3294"/>
    <w:rsid w:val="007B4E40"/>
    <w:rsid w:val="007D2464"/>
    <w:rsid w:val="007D55C7"/>
    <w:rsid w:val="007F0056"/>
    <w:rsid w:val="007F29AA"/>
    <w:rsid w:val="00804F68"/>
    <w:rsid w:val="008066E5"/>
    <w:rsid w:val="00831242"/>
    <w:rsid w:val="00831E8A"/>
    <w:rsid w:val="0086379B"/>
    <w:rsid w:val="00877505"/>
    <w:rsid w:val="00884F7D"/>
    <w:rsid w:val="0088692E"/>
    <w:rsid w:val="008921FF"/>
    <w:rsid w:val="00895A1C"/>
    <w:rsid w:val="00895DEC"/>
    <w:rsid w:val="008B1DA8"/>
    <w:rsid w:val="008C009C"/>
    <w:rsid w:val="008E77A2"/>
    <w:rsid w:val="00905162"/>
    <w:rsid w:val="009121BA"/>
    <w:rsid w:val="00916770"/>
    <w:rsid w:val="00940CAA"/>
    <w:rsid w:val="00941439"/>
    <w:rsid w:val="009434F1"/>
    <w:rsid w:val="00943B96"/>
    <w:rsid w:val="00950F61"/>
    <w:rsid w:val="00954F5A"/>
    <w:rsid w:val="00956AB1"/>
    <w:rsid w:val="00971151"/>
    <w:rsid w:val="00995B14"/>
    <w:rsid w:val="009B195F"/>
    <w:rsid w:val="009B3638"/>
    <w:rsid w:val="009C1CD4"/>
    <w:rsid w:val="009C5547"/>
    <w:rsid w:val="009C56E4"/>
    <w:rsid w:val="009C72B0"/>
    <w:rsid w:val="009E245A"/>
    <w:rsid w:val="00A10A79"/>
    <w:rsid w:val="00A175B9"/>
    <w:rsid w:val="00A3007D"/>
    <w:rsid w:val="00A35728"/>
    <w:rsid w:val="00A40051"/>
    <w:rsid w:val="00A419C5"/>
    <w:rsid w:val="00A44BBD"/>
    <w:rsid w:val="00A56233"/>
    <w:rsid w:val="00A64677"/>
    <w:rsid w:val="00A6521B"/>
    <w:rsid w:val="00A82590"/>
    <w:rsid w:val="00A86113"/>
    <w:rsid w:val="00AA0516"/>
    <w:rsid w:val="00AA229A"/>
    <w:rsid w:val="00AB38A8"/>
    <w:rsid w:val="00AC1359"/>
    <w:rsid w:val="00AD05F6"/>
    <w:rsid w:val="00AF1DE2"/>
    <w:rsid w:val="00AF4DB6"/>
    <w:rsid w:val="00B03E91"/>
    <w:rsid w:val="00B111E4"/>
    <w:rsid w:val="00B25367"/>
    <w:rsid w:val="00B371B3"/>
    <w:rsid w:val="00B37D51"/>
    <w:rsid w:val="00B44656"/>
    <w:rsid w:val="00B50470"/>
    <w:rsid w:val="00B53CAC"/>
    <w:rsid w:val="00B61044"/>
    <w:rsid w:val="00B64B2A"/>
    <w:rsid w:val="00B71D50"/>
    <w:rsid w:val="00B774AC"/>
    <w:rsid w:val="00B77A1C"/>
    <w:rsid w:val="00B913EF"/>
    <w:rsid w:val="00B95166"/>
    <w:rsid w:val="00BA3EEB"/>
    <w:rsid w:val="00BB7BCA"/>
    <w:rsid w:val="00BC00F6"/>
    <w:rsid w:val="00BE1CEC"/>
    <w:rsid w:val="00BE2E0D"/>
    <w:rsid w:val="00BF109E"/>
    <w:rsid w:val="00BF2E38"/>
    <w:rsid w:val="00C12554"/>
    <w:rsid w:val="00C23BDA"/>
    <w:rsid w:val="00C24DB2"/>
    <w:rsid w:val="00C34D29"/>
    <w:rsid w:val="00C529E1"/>
    <w:rsid w:val="00C67785"/>
    <w:rsid w:val="00C92BCB"/>
    <w:rsid w:val="00C95B0A"/>
    <w:rsid w:val="00CA51E5"/>
    <w:rsid w:val="00CA776A"/>
    <w:rsid w:val="00CB246D"/>
    <w:rsid w:val="00CC2159"/>
    <w:rsid w:val="00CD198D"/>
    <w:rsid w:val="00CE67B6"/>
    <w:rsid w:val="00CF13EC"/>
    <w:rsid w:val="00CF3EAA"/>
    <w:rsid w:val="00D05C16"/>
    <w:rsid w:val="00D159AD"/>
    <w:rsid w:val="00D1603A"/>
    <w:rsid w:val="00D24AE8"/>
    <w:rsid w:val="00D80C48"/>
    <w:rsid w:val="00D94ABC"/>
    <w:rsid w:val="00D97B53"/>
    <w:rsid w:val="00DA6775"/>
    <w:rsid w:val="00DC144C"/>
    <w:rsid w:val="00DC5809"/>
    <w:rsid w:val="00DD7853"/>
    <w:rsid w:val="00DE058C"/>
    <w:rsid w:val="00DE7A12"/>
    <w:rsid w:val="00E0679A"/>
    <w:rsid w:val="00E13E26"/>
    <w:rsid w:val="00E25CE3"/>
    <w:rsid w:val="00E43FBF"/>
    <w:rsid w:val="00E5319E"/>
    <w:rsid w:val="00E531AF"/>
    <w:rsid w:val="00E628D4"/>
    <w:rsid w:val="00E856C0"/>
    <w:rsid w:val="00E87877"/>
    <w:rsid w:val="00EA7A83"/>
    <w:rsid w:val="00EB24B5"/>
    <w:rsid w:val="00EB541B"/>
    <w:rsid w:val="00EC1057"/>
    <w:rsid w:val="00EC78B9"/>
    <w:rsid w:val="00ED2180"/>
    <w:rsid w:val="00EE6F96"/>
    <w:rsid w:val="00F02BB7"/>
    <w:rsid w:val="00F0427C"/>
    <w:rsid w:val="00F132FD"/>
    <w:rsid w:val="00F177B7"/>
    <w:rsid w:val="00F24001"/>
    <w:rsid w:val="00F31233"/>
    <w:rsid w:val="00F322F8"/>
    <w:rsid w:val="00F36B62"/>
    <w:rsid w:val="00F5106B"/>
    <w:rsid w:val="00F52E6C"/>
    <w:rsid w:val="00F52FFE"/>
    <w:rsid w:val="00F65316"/>
    <w:rsid w:val="00F66E6D"/>
    <w:rsid w:val="00F72E94"/>
    <w:rsid w:val="00F83BE6"/>
    <w:rsid w:val="00F85C2D"/>
    <w:rsid w:val="00FA2AFB"/>
    <w:rsid w:val="00FB0520"/>
    <w:rsid w:val="00FB6D49"/>
    <w:rsid w:val="00FF71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theheightsburnley.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enquiries@theheightsburnley.org"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overnance@ept-u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2.xml><?xml version="1.0" encoding="utf-8"?>
<ds:datastoreItem xmlns:ds="http://schemas.openxmlformats.org/officeDocument/2006/customXml" ds:itemID="{DB7E427A-8D9F-41B0-B2C6-C38206105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8</cp:revision>
  <cp:lastPrinted>2022-04-19T08:16:00Z</cp:lastPrinted>
  <dcterms:created xsi:type="dcterms:W3CDTF">2023-11-08T09:38:00Z</dcterms:created>
  <dcterms:modified xsi:type="dcterms:W3CDTF">2023-11-24T15:52:00Z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